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900" w:lineRule="exact"/>
        <w:ind w:left="420" w:leftChars="200" w:right="420" w:rightChars="200"/>
        <w:jc w:val="center"/>
        <w:textAlignment w:val="auto"/>
        <w:rPr>
          <w:rFonts w:hint="eastAsia" w:ascii="宋体" w:hAnsi="宋体" w:eastAsia="宋体" w:cs="宋体"/>
          <w:b/>
          <w:color w:val="auto"/>
          <w:sz w:val="40"/>
          <w:szCs w:val="40"/>
          <w:highlight w:val="none"/>
          <w:lang w:eastAsia="zh-CN"/>
        </w:rPr>
      </w:pPr>
      <w:r>
        <w:rPr>
          <w:rFonts w:hint="eastAsia" w:ascii="宋体" w:hAnsi="宋体" w:cs="宋体"/>
          <w:b/>
          <w:color w:val="auto"/>
          <w:sz w:val="40"/>
          <w:szCs w:val="40"/>
          <w:highlight w:val="none"/>
          <w:lang w:val="en-US" w:eastAsia="zh-CN"/>
        </w:rPr>
        <w:t>项目名称：</w:t>
      </w:r>
      <w:r>
        <w:rPr>
          <w:rFonts w:hint="eastAsia" w:ascii="宋体" w:hAnsi="宋体" w:cs="宋体"/>
          <w:b/>
          <w:color w:val="auto"/>
          <w:sz w:val="40"/>
          <w:szCs w:val="40"/>
          <w:highlight w:val="none"/>
          <w:lang w:eastAsia="zh-CN"/>
        </w:rPr>
        <w:t>东南、南方数智运维中心维护车辆定点保养及维修服务</w:t>
      </w:r>
    </w:p>
    <w:p>
      <w:pPr>
        <w:rPr>
          <w:rFonts w:ascii="宋体" w:hAnsi="宋体" w:cs="宋体"/>
          <w:color w:val="auto"/>
          <w:sz w:val="28"/>
          <w:szCs w:val="28"/>
          <w:highlight w:val="none"/>
        </w:rPr>
      </w:pPr>
    </w:p>
    <w:p>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pPr>
        <w:jc w:val="center"/>
        <w:rPr>
          <w:rFonts w:ascii="宋体" w:hAnsi="宋体" w:cs="宋体"/>
          <w:b/>
          <w:color w:val="auto"/>
          <w:sz w:val="48"/>
          <w:szCs w:val="48"/>
          <w:highlight w:val="none"/>
        </w:rPr>
      </w:pPr>
    </w:p>
    <w:p>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pPr>
        <w:jc w:val="center"/>
        <w:rPr>
          <w:rFonts w:ascii="宋体" w:hAnsi="宋体" w:cs="宋体"/>
          <w:b/>
          <w:color w:val="auto"/>
          <w:sz w:val="48"/>
          <w:szCs w:val="48"/>
          <w:highlight w:val="none"/>
        </w:rPr>
      </w:pPr>
    </w:p>
    <w:p>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pPr>
        <w:jc w:val="center"/>
        <w:rPr>
          <w:rFonts w:ascii="宋体" w:hAnsi="宋体" w:cs="宋体"/>
          <w:b/>
          <w:color w:val="auto"/>
          <w:sz w:val="48"/>
          <w:szCs w:val="48"/>
          <w:highlight w:val="none"/>
        </w:rPr>
      </w:pPr>
    </w:p>
    <w:p>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pPr>
        <w:jc w:val="center"/>
        <w:rPr>
          <w:rFonts w:ascii="宋体" w:hAnsi="宋体" w:cs="宋体"/>
          <w:b/>
          <w:color w:val="auto"/>
          <w:sz w:val="48"/>
          <w:szCs w:val="48"/>
          <w:highlight w:val="none"/>
        </w:rPr>
      </w:pPr>
    </w:p>
    <w:p>
      <w:pPr>
        <w:jc w:val="center"/>
        <w:rPr>
          <w:rFonts w:hint="eastAsia" w:ascii="宋体" w:hAnsi="宋体" w:eastAsia="宋体" w:cs="宋体"/>
          <w:b/>
          <w:color w:val="auto"/>
          <w:sz w:val="48"/>
          <w:szCs w:val="48"/>
          <w:highlight w:val="none"/>
          <w:lang w:val="en-US" w:eastAsia="zh-CN"/>
        </w:rPr>
      </w:pPr>
      <w:r>
        <w:rPr>
          <w:rFonts w:hint="eastAsia" w:ascii="宋体" w:hAnsi="宋体" w:cs="宋体"/>
          <w:b/>
          <w:color w:val="auto"/>
          <w:sz w:val="48"/>
          <w:szCs w:val="48"/>
          <w:highlight w:val="none"/>
        </w:rPr>
        <w:t>选</w:t>
      </w:r>
      <w:r>
        <w:rPr>
          <w:rFonts w:hint="eastAsia" w:ascii="宋体" w:hAnsi="宋体" w:cs="宋体"/>
          <w:b/>
          <w:color w:val="auto"/>
          <w:sz w:val="48"/>
          <w:szCs w:val="48"/>
          <w:highlight w:val="none"/>
          <w:lang w:val="en-US" w:eastAsia="zh-CN"/>
        </w:rPr>
        <w:t xml:space="preserve"> </w:t>
      </w:r>
    </w:p>
    <w:p>
      <w:pPr>
        <w:jc w:val="center"/>
        <w:rPr>
          <w:rFonts w:ascii="宋体" w:hAnsi="宋体" w:cs="宋体"/>
          <w:b/>
          <w:color w:val="auto"/>
          <w:sz w:val="48"/>
          <w:szCs w:val="48"/>
          <w:highlight w:val="none"/>
        </w:rPr>
      </w:pPr>
    </w:p>
    <w:p>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pPr>
        <w:jc w:val="center"/>
        <w:rPr>
          <w:rFonts w:ascii="宋体" w:hAnsi="宋体" w:cs="宋体"/>
          <w:b/>
          <w:color w:val="auto"/>
          <w:sz w:val="48"/>
          <w:szCs w:val="48"/>
          <w:highlight w:val="none"/>
        </w:rPr>
      </w:pPr>
    </w:p>
    <w:p>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pPr>
        <w:spacing w:line="400" w:lineRule="exact"/>
        <w:rPr>
          <w:rFonts w:ascii="宋体" w:hAnsi="宋体" w:cs="宋体"/>
          <w:color w:val="auto"/>
          <w:highlight w:val="none"/>
        </w:rPr>
      </w:pPr>
    </w:p>
    <w:p>
      <w:pPr>
        <w:rPr>
          <w:color w:val="auto"/>
          <w:highlight w:val="none"/>
        </w:rPr>
      </w:pPr>
    </w:p>
    <w:p>
      <w:pPr>
        <w:jc w:val="center"/>
        <w:rPr>
          <w:rFonts w:hint="eastAsia" w:ascii="宋体" w:hAnsi="宋体" w:eastAsia="宋体" w:cs="宋体"/>
          <w:b/>
          <w:color w:val="auto"/>
          <w:sz w:val="32"/>
          <w:szCs w:val="32"/>
          <w:highlight w:val="none"/>
          <w:lang w:eastAsia="zh-CN"/>
        </w:rPr>
      </w:pPr>
      <w:r>
        <w:rPr>
          <w:rFonts w:hint="eastAsia" w:ascii="宋体" w:hAnsi="宋体" w:cs="宋体"/>
          <w:b/>
          <w:color w:val="auto"/>
          <w:sz w:val="32"/>
          <w:szCs w:val="32"/>
          <w:highlight w:val="none"/>
        </w:rPr>
        <w:t>采购人：</w:t>
      </w:r>
      <w:r>
        <w:rPr>
          <w:rFonts w:hint="eastAsia" w:ascii="宋体" w:hAnsi="宋体" w:cs="宋体"/>
          <w:b/>
          <w:color w:val="auto"/>
          <w:sz w:val="32"/>
          <w:szCs w:val="32"/>
          <w:highlight w:val="none"/>
          <w:lang w:eastAsia="zh-CN"/>
        </w:rPr>
        <w:t>重庆首讯科技股份有限公司数智系统运维分公司</w:t>
      </w:r>
    </w:p>
    <w:p>
      <w:pPr>
        <w:jc w:val="center"/>
        <w:rPr>
          <w:rFonts w:hint="eastAsia" w:ascii="宋体" w:hAnsi="宋体" w:cs="宋体"/>
          <w:b/>
          <w:color w:val="auto"/>
          <w:sz w:val="32"/>
          <w:szCs w:val="32"/>
          <w:highlight w:val="none"/>
          <w:u w:val="single"/>
        </w:rPr>
      </w:pPr>
    </w:p>
    <w:p>
      <w:pPr>
        <w:jc w:val="center"/>
        <w:rPr>
          <w:rFonts w:ascii="宋体" w:hAnsi="宋体" w:cs="宋体"/>
          <w:b/>
          <w:color w:val="auto"/>
          <w:sz w:val="32"/>
          <w:szCs w:val="32"/>
          <w:highlight w:val="none"/>
        </w:rPr>
      </w:pPr>
      <w:r>
        <w:rPr>
          <w:rFonts w:hint="eastAsia" w:ascii="宋体" w:hAnsi="宋体" w:cs="宋体"/>
          <w:b/>
          <w:color w:val="auto"/>
          <w:sz w:val="28"/>
          <w:szCs w:val="28"/>
          <w:highlight w:val="none"/>
          <w:u w:val="single"/>
        </w:rPr>
        <w:t>2025</w:t>
      </w:r>
      <w:r>
        <w:rPr>
          <w:rFonts w:hint="eastAsia" w:ascii="宋体" w:hAnsi="宋体" w:cs="宋体"/>
          <w:b/>
          <w:color w:val="auto"/>
          <w:sz w:val="28"/>
          <w:szCs w:val="28"/>
          <w:highlight w:val="none"/>
          <w:lang w:val="en-US" w:eastAsia="zh-CN"/>
        </w:rPr>
        <w:t>年</w:t>
      </w:r>
      <w:r>
        <w:rPr>
          <w:rFonts w:hint="eastAsia" w:ascii="宋体" w:hAnsi="宋体" w:cs="宋体"/>
          <w:b/>
          <w:color w:val="auto"/>
          <w:sz w:val="28"/>
          <w:szCs w:val="28"/>
          <w:highlight w:val="none"/>
          <w:u w:val="single"/>
          <w:lang w:val="en-US" w:eastAsia="zh-CN"/>
        </w:rPr>
        <w:t>10</w:t>
      </w:r>
      <w:r>
        <w:rPr>
          <w:rFonts w:hint="eastAsia" w:ascii="宋体" w:hAnsi="宋体" w:cs="宋体"/>
          <w:b/>
          <w:color w:val="auto"/>
          <w:sz w:val="28"/>
          <w:szCs w:val="28"/>
          <w:highlight w:val="none"/>
          <w:lang w:val="en-US" w:eastAsia="zh-CN"/>
        </w:rPr>
        <w:t>月</w:t>
      </w:r>
    </w:p>
    <w:p>
      <w:pPr>
        <w:pStyle w:val="28"/>
        <w:jc w:val="center"/>
        <w:rPr>
          <w:rFonts w:ascii="宋体" w:hAnsi="宋体" w:cs="宋体"/>
          <w:color w:val="auto"/>
          <w:szCs w:val="21"/>
          <w:highlight w:val="none"/>
        </w:rPr>
      </w:pPr>
      <w:r>
        <w:rPr>
          <w:color w:val="auto"/>
          <w:highlight w:val="none"/>
        </w:rPr>
        <w:br w:type="page"/>
      </w:r>
      <w:bookmarkStart w:id="0" w:name="_Toc246996898"/>
      <w:bookmarkStart w:id="1" w:name="_Toc507428442"/>
      <w:bookmarkStart w:id="2" w:name="_Toc296602400"/>
      <w:bookmarkStart w:id="3" w:name="_Toc247085669"/>
      <w:bookmarkStart w:id="4" w:name="_Toc507319889"/>
      <w:r>
        <w:rPr>
          <w:rFonts w:hint="eastAsia" w:ascii="宋体" w:hAnsi="宋体" w:cs="宋体"/>
          <w:b w:val="0"/>
          <w:color w:val="auto"/>
          <w:sz w:val="32"/>
          <w:highlight w:val="none"/>
        </w:rPr>
        <w:t>目   录</w:t>
      </w:r>
      <w:bookmarkEnd w:id="0"/>
      <w:bookmarkEnd w:id="1"/>
      <w:bookmarkEnd w:id="2"/>
      <w:bookmarkEnd w:id="3"/>
      <w:bookmarkEnd w:id="4"/>
    </w:p>
    <w:p>
      <w:pPr>
        <w:pStyle w:val="28"/>
        <w:tabs>
          <w:tab w:val="right" w:leader="dot" w:pos="9638"/>
        </w:tabs>
        <w:rPr>
          <w:color w:val="auto"/>
        </w:rPr>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color w:val="auto"/>
          <w:highlight w:val="none"/>
        </w:rPr>
        <w:instrText xml:space="preserve"> HYPERLINK \l _Toc29643 </w:instrText>
      </w:r>
      <w:r>
        <w:rPr>
          <w:rFonts w:hint="eastAsia" w:ascii="宋体" w:hAnsi="宋体" w:cs="宋体"/>
          <w:bCs w:val="0"/>
          <w:caps w:val="0"/>
          <w:color w:val="auto"/>
          <w:highlight w:val="none"/>
        </w:rPr>
        <w:fldChar w:fldCharType="separate"/>
      </w:r>
      <w:r>
        <w:rPr>
          <w:rFonts w:hint="eastAsia" w:ascii="宋体" w:hAnsi="宋体" w:eastAsia="宋体" w:cs="宋体"/>
          <w:bCs/>
          <w:smallCaps w:val="0"/>
          <w:color w:val="auto"/>
          <w:kern w:val="44"/>
          <w:szCs w:val="44"/>
          <w:highlight w:val="none"/>
          <w:lang w:val="en-US" w:eastAsia="zh-CN" w:bidi="ar-SA"/>
        </w:rPr>
        <w:t>第一章 比选公告</w:t>
      </w:r>
      <w:r>
        <w:rPr>
          <w:color w:val="auto"/>
        </w:rPr>
        <w:tab/>
      </w:r>
      <w:r>
        <w:rPr>
          <w:color w:val="auto"/>
        </w:rPr>
        <w:fldChar w:fldCharType="begin"/>
      </w:r>
      <w:r>
        <w:rPr>
          <w:color w:val="auto"/>
        </w:rPr>
        <w:instrText xml:space="preserve"> PAGEREF _Toc29643 \h </w:instrText>
      </w:r>
      <w:r>
        <w:rPr>
          <w:color w:val="auto"/>
        </w:rPr>
        <w:fldChar w:fldCharType="separate"/>
      </w:r>
      <w:r>
        <w:rPr>
          <w:color w:val="auto"/>
        </w:rPr>
        <w:t>1</w:t>
      </w:r>
      <w:r>
        <w:rPr>
          <w:color w:val="auto"/>
        </w:rPr>
        <w:fldChar w:fldCharType="end"/>
      </w:r>
      <w:r>
        <w:rPr>
          <w:rFonts w:hint="eastAsia" w:ascii="宋体" w:hAnsi="宋体" w:cs="宋体"/>
          <w:bCs w:val="0"/>
          <w:caps w:val="0"/>
          <w:color w:val="auto"/>
          <w:highlight w:val="none"/>
        </w:rPr>
        <w:fldChar w:fldCharType="end"/>
      </w:r>
    </w:p>
    <w:p>
      <w:pPr>
        <w:pStyle w:val="34"/>
        <w:tabs>
          <w:tab w:val="right" w:leader="dot" w:pos="9638"/>
        </w:tabs>
        <w:rPr>
          <w:color w:val="auto"/>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_Toc27743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1. 比选条件</w:t>
      </w:r>
      <w:r>
        <w:rPr>
          <w:color w:val="auto"/>
        </w:rPr>
        <w:tab/>
      </w:r>
      <w:r>
        <w:rPr>
          <w:color w:val="auto"/>
        </w:rPr>
        <w:fldChar w:fldCharType="begin"/>
      </w:r>
      <w:r>
        <w:rPr>
          <w:color w:val="auto"/>
        </w:rPr>
        <w:instrText xml:space="preserve"> PAGEREF _Toc27743 \h </w:instrText>
      </w:r>
      <w:r>
        <w:rPr>
          <w:color w:val="auto"/>
        </w:rPr>
        <w:fldChar w:fldCharType="separate"/>
      </w:r>
      <w:r>
        <w:rPr>
          <w:color w:val="auto"/>
        </w:rPr>
        <w:t>1</w:t>
      </w:r>
      <w:r>
        <w:rPr>
          <w:color w:val="auto"/>
        </w:rPr>
        <w:fldChar w:fldCharType="end"/>
      </w:r>
      <w:r>
        <w:rPr>
          <w:rFonts w:hint="eastAsia" w:ascii="宋体" w:hAnsi="宋体" w:cs="宋体"/>
          <w:bCs/>
          <w:caps/>
          <w:color w:val="auto"/>
          <w:highlight w:val="none"/>
        </w:rPr>
        <w:fldChar w:fldCharType="end"/>
      </w:r>
    </w:p>
    <w:p>
      <w:pPr>
        <w:pStyle w:val="34"/>
        <w:tabs>
          <w:tab w:val="right" w:leader="dot" w:pos="9638"/>
        </w:tabs>
        <w:rPr>
          <w:color w:val="auto"/>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_Toc1258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2. 项目概况与比选范围</w:t>
      </w:r>
      <w:r>
        <w:rPr>
          <w:color w:val="auto"/>
        </w:rPr>
        <w:tab/>
      </w:r>
      <w:r>
        <w:rPr>
          <w:color w:val="auto"/>
        </w:rPr>
        <w:fldChar w:fldCharType="begin"/>
      </w:r>
      <w:r>
        <w:rPr>
          <w:color w:val="auto"/>
        </w:rPr>
        <w:instrText xml:space="preserve"> PAGEREF _Toc1258 \h </w:instrText>
      </w:r>
      <w:r>
        <w:rPr>
          <w:color w:val="auto"/>
        </w:rPr>
        <w:fldChar w:fldCharType="separate"/>
      </w:r>
      <w:r>
        <w:rPr>
          <w:color w:val="auto"/>
        </w:rPr>
        <w:t>1</w:t>
      </w:r>
      <w:r>
        <w:rPr>
          <w:color w:val="auto"/>
        </w:rPr>
        <w:fldChar w:fldCharType="end"/>
      </w:r>
      <w:r>
        <w:rPr>
          <w:rFonts w:hint="eastAsia" w:ascii="宋体" w:hAnsi="宋体" w:cs="宋体"/>
          <w:bCs/>
          <w:caps/>
          <w:color w:val="auto"/>
          <w:highlight w:val="none"/>
        </w:rPr>
        <w:fldChar w:fldCharType="end"/>
      </w:r>
    </w:p>
    <w:p>
      <w:pPr>
        <w:pStyle w:val="34"/>
        <w:tabs>
          <w:tab w:val="right" w:leader="dot" w:pos="9638"/>
        </w:tabs>
        <w:rPr>
          <w:color w:val="auto"/>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_Toc5542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3. 报价人资格要求</w:t>
      </w:r>
      <w:r>
        <w:rPr>
          <w:color w:val="auto"/>
        </w:rPr>
        <w:tab/>
      </w:r>
      <w:r>
        <w:rPr>
          <w:color w:val="auto"/>
        </w:rPr>
        <w:fldChar w:fldCharType="begin"/>
      </w:r>
      <w:r>
        <w:rPr>
          <w:color w:val="auto"/>
        </w:rPr>
        <w:instrText xml:space="preserve"> PAGEREF _Toc5542 \h </w:instrText>
      </w:r>
      <w:r>
        <w:rPr>
          <w:color w:val="auto"/>
        </w:rPr>
        <w:fldChar w:fldCharType="separate"/>
      </w:r>
      <w:r>
        <w:rPr>
          <w:color w:val="auto"/>
        </w:rPr>
        <w:t>1</w:t>
      </w:r>
      <w:r>
        <w:rPr>
          <w:color w:val="auto"/>
        </w:rPr>
        <w:fldChar w:fldCharType="end"/>
      </w:r>
      <w:r>
        <w:rPr>
          <w:rFonts w:hint="eastAsia" w:ascii="宋体" w:hAnsi="宋体" w:cs="宋体"/>
          <w:bCs/>
          <w:caps/>
          <w:color w:val="auto"/>
          <w:highlight w:val="none"/>
        </w:rPr>
        <w:fldChar w:fldCharType="end"/>
      </w:r>
    </w:p>
    <w:p>
      <w:pPr>
        <w:pStyle w:val="34"/>
        <w:tabs>
          <w:tab w:val="right" w:leader="dot" w:pos="9638"/>
        </w:tabs>
        <w:rPr>
          <w:color w:val="auto"/>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_Toc28877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4. 评标办法</w:t>
      </w:r>
      <w:r>
        <w:rPr>
          <w:color w:val="auto"/>
        </w:rPr>
        <w:tab/>
      </w:r>
      <w:r>
        <w:rPr>
          <w:color w:val="auto"/>
        </w:rPr>
        <w:fldChar w:fldCharType="begin"/>
      </w:r>
      <w:r>
        <w:rPr>
          <w:color w:val="auto"/>
        </w:rPr>
        <w:instrText xml:space="preserve"> PAGEREF _Toc28877 \h </w:instrText>
      </w:r>
      <w:r>
        <w:rPr>
          <w:color w:val="auto"/>
        </w:rPr>
        <w:fldChar w:fldCharType="separate"/>
      </w:r>
      <w:r>
        <w:rPr>
          <w:color w:val="auto"/>
        </w:rPr>
        <w:t>1</w:t>
      </w:r>
      <w:r>
        <w:rPr>
          <w:color w:val="auto"/>
        </w:rPr>
        <w:fldChar w:fldCharType="end"/>
      </w:r>
      <w:r>
        <w:rPr>
          <w:rFonts w:hint="eastAsia" w:ascii="宋体" w:hAnsi="宋体" w:cs="宋体"/>
          <w:bCs/>
          <w:caps/>
          <w:color w:val="auto"/>
          <w:highlight w:val="none"/>
        </w:rPr>
        <w:fldChar w:fldCharType="end"/>
      </w:r>
    </w:p>
    <w:p>
      <w:pPr>
        <w:pStyle w:val="34"/>
        <w:tabs>
          <w:tab w:val="right" w:leader="dot" w:pos="9638"/>
        </w:tabs>
        <w:rPr>
          <w:color w:val="auto"/>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_Toc8694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r>
        <w:rPr>
          <w:color w:val="auto"/>
        </w:rPr>
        <w:tab/>
      </w:r>
      <w:r>
        <w:rPr>
          <w:color w:val="auto"/>
        </w:rPr>
        <w:fldChar w:fldCharType="begin"/>
      </w:r>
      <w:r>
        <w:rPr>
          <w:color w:val="auto"/>
        </w:rPr>
        <w:instrText xml:space="preserve"> PAGEREF _Toc8694 \h </w:instrText>
      </w:r>
      <w:r>
        <w:rPr>
          <w:color w:val="auto"/>
        </w:rPr>
        <w:fldChar w:fldCharType="separate"/>
      </w:r>
      <w:r>
        <w:rPr>
          <w:color w:val="auto"/>
        </w:rPr>
        <w:t>1</w:t>
      </w:r>
      <w:r>
        <w:rPr>
          <w:color w:val="auto"/>
        </w:rPr>
        <w:fldChar w:fldCharType="end"/>
      </w:r>
      <w:r>
        <w:rPr>
          <w:rFonts w:hint="eastAsia" w:ascii="宋体" w:hAnsi="宋体" w:cs="宋体"/>
          <w:bCs/>
          <w:caps/>
          <w:color w:val="auto"/>
          <w:highlight w:val="none"/>
        </w:rPr>
        <w:fldChar w:fldCharType="end"/>
      </w:r>
    </w:p>
    <w:p>
      <w:pPr>
        <w:pStyle w:val="34"/>
        <w:tabs>
          <w:tab w:val="right" w:leader="dot" w:pos="9638"/>
        </w:tabs>
        <w:rPr>
          <w:color w:val="auto"/>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_Toc18060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竞争性比选响应文件的递交及相关事宜</w:t>
      </w:r>
      <w:r>
        <w:rPr>
          <w:color w:val="auto"/>
        </w:rPr>
        <w:tab/>
      </w:r>
      <w:r>
        <w:rPr>
          <w:color w:val="auto"/>
        </w:rPr>
        <w:fldChar w:fldCharType="begin"/>
      </w:r>
      <w:r>
        <w:rPr>
          <w:color w:val="auto"/>
        </w:rPr>
        <w:instrText xml:space="preserve"> PAGEREF _Toc18060 \h </w:instrText>
      </w:r>
      <w:r>
        <w:rPr>
          <w:color w:val="auto"/>
        </w:rPr>
        <w:fldChar w:fldCharType="separate"/>
      </w:r>
      <w:r>
        <w:rPr>
          <w:color w:val="auto"/>
        </w:rPr>
        <w:t>1</w:t>
      </w:r>
      <w:r>
        <w:rPr>
          <w:color w:val="auto"/>
        </w:rPr>
        <w:fldChar w:fldCharType="end"/>
      </w:r>
      <w:r>
        <w:rPr>
          <w:rFonts w:hint="eastAsia" w:ascii="宋体" w:hAnsi="宋体" w:cs="宋体"/>
          <w:bCs/>
          <w:caps/>
          <w:color w:val="auto"/>
          <w:highlight w:val="none"/>
        </w:rPr>
        <w:fldChar w:fldCharType="end"/>
      </w:r>
    </w:p>
    <w:p>
      <w:pPr>
        <w:pStyle w:val="34"/>
        <w:tabs>
          <w:tab w:val="right" w:leader="dot" w:pos="9638"/>
        </w:tabs>
        <w:rPr>
          <w:color w:val="auto"/>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_Toc28867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r>
        <w:rPr>
          <w:color w:val="auto"/>
        </w:rPr>
        <w:tab/>
      </w:r>
      <w:r>
        <w:rPr>
          <w:color w:val="auto"/>
        </w:rPr>
        <w:fldChar w:fldCharType="begin"/>
      </w:r>
      <w:r>
        <w:rPr>
          <w:color w:val="auto"/>
        </w:rPr>
        <w:instrText xml:space="preserve"> PAGEREF _Toc28867 \h </w:instrText>
      </w:r>
      <w:r>
        <w:rPr>
          <w:color w:val="auto"/>
        </w:rPr>
        <w:fldChar w:fldCharType="separate"/>
      </w:r>
      <w:r>
        <w:rPr>
          <w:color w:val="auto"/>
        </w:rPr>
        <w:t>2</w:t>
      </w:r>
      <w:r>
        <w:rPr>
          <w:color w:val="auto"/>
        </w:rPr>
        <w:fldChar w:fldCharType="end"/>
      </w:r>
      <w:r>
        <w:rPr>
          <w:rFonts w:hint="eastAsia" w:ascii="宋体" w:hAnsi="宋体" w:cs="宋体"/>
          <w:bCs/>
          <w:caps/>
          <w:color w:val="auto"/>
          <w:highlight w:val="none"/>
        </w:rPr>
        <w:fldChar w:fldCharType="end"/>
      </w:r>
    </w:p>
    <w:p>
      <w:pPr>
        <w:pStyle w:val="28"/>
        <w:tabs>
          <w:tab w:val="right" w:leader="dot" w:pos="9638"/>
        </w:tabs>
        <w:rPr>
          <w:color w:val="auto"/>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_Toc10659 </w:instrText>
      </w:r>
      <w:r>
        <w:rPr>
          <w:rFonts w:hint="eastAsia" w:ascii="宋体" w:hAnsi="宋体" w:cs="宋体"/>
          <w:bCs/>
          <w:caps/>
          <w:color w:val="auto"/>
          <w:highlight w:val="none"/>
        </w:rPr>
        <w:fldChar w:fldCharType="separate"/>
      </w:r>
      <w:r>
        <w:rPr>
          <w:rFonts w:hint="eastAsia" w:ascii="宋体" w:hAnsi="宋体" w:cs="宋体"/>
          <w:color w:val="auto"/>
          <w:highlight w:val="none"/>
        </w:rPr>
        <w:t>第二章 报价人须知</w:t>
      </w:r>
      <w:r>
        <w:rPr>
          <w:color w:val="auto"/>
        </w:rPr>
        <w:tab/>
      </w:r>
      <w:r>
        <w:rPr>
          <w:color w:val="auto"/>
        </w:rPr>
        <w:fldChar w:fldCharType="begin"/>
      </w:r>
      <w:r>
        <w:rPr>
          <w:color w:val="auto"/>
        </w:rPr>
        <w:instrText xml:space="preserve"> PAGEREF _Toc10659 \h </w:instrText>
      </w:r>
      <w:r>
        <w:rPr>
          <w:color w:val="auto"/>
        </w:rPr>
        <w:fldChar w:fldCharType="separate"/>
      </w:r>
      <w:r>
        <w:rPr>
          <w:color w:val="auto"/>
        </w:rPr>
        <w:t>3</w:t>
      </w:r>
      <w:r>
        <w:rPr>
          <w:color w:val="auto"/>
        </w:rPr>
        <w:fldChar w:fldCharType="end"/>
      </w:r>
      <w:r>
        <w:rPr>
          <w:rFonts w:hint="eastAsia" w:ascii="宋体" w:hAnsi="宋体" w:cs="宋体"/>
          <w:bCs/>
          <w:caps/>
          <w:color w:val="auto"/>
          <w:highlight w:val="none"/>
        </w:rPr>
        <w:fldChar w:fldCharType="end"/>
      </w:r>
    </w:p>
    <w:p>
      <w:pPr>
        <w:pStyle w:val="34"/>
        <w:tabs>
          <w:tab w:val="right" w:leader="dot" w:pos="9638"/>
        </w:tabs>
        <w:rPr>
          <w:color w:val="auto"/>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_Toc6693 </w:instrText>
      </w:r>
      <w:r>
        <w:rPr>
          <w:rFonts w:hint="eastAsia" w:ascii="宋体" w:hAnsi="宋体" w:cs="宋体"/>
          <w:bCs/>
          <w:caps/>
          <w:color w:val="auto"/>
          <w:highlight w:val="none"/>
        </w:rPr>
        <w:fldChar w:fldCharType="separate"/>
      </w:r>
      <w:r>
        <w:rPr>
          <w:rFonts w:hint="eastAsia" w:ascii="宋体" w:hAnsi="宋体" w:eastAsia="宋体" w:cs="宋体"/>
          <w:color w:val="auto"/>
          <w:szCs w:val="28"/>
          <w:highlight w:val="none"/>
        </w:rPr>
        <w:t xml:space="preserve">附录1  </w:t>
      </w:r>
      <w:r>
        <w:rPr>
          <w:rFonts w:hint="eastAsia" w:ascii="宋体" w:hAnsi="宋体" w:eastAsia="宋体" w:cs="宋体"/>
          <w:bCs w:val="0"/>
          <w:color w:val="auto"/>
          <w:szCs w:val="28"/>
          <w:highlight w:val="none"/>
        </w:rPr>
        <w:t>报价人资格要求</w:t>
      </w:r>
      <w:r>
        <w:rPr>
          <w:color w:val="auto"/>
        </w:rPr>
        <w:tab/>
      </w:r>
      <w:r>
        <w:rPr>
          <w:color w:val="auto"/>
        </w:rPr>
        <w:fldChar w:fldCharType="begin"/>
      </w:r>
      <w:r>
        <w:rPr>
          <w:color w:val="auto"/>
        </w:rPr>
        <w:instrText xml:space="preserve"> PAGEREF _Toc6693 \h </w:instrText>
      </w:r>
      <w:r>
        <w:rPr>
          <w:color w:val="auto"/>
        </w:rPr>
        <w:fldChar w:fldCharType="separate"/>
      </w:r>
      <w:r>
        <w:rPr>
          <w:color w:val="auto"/>
        </w:rPr>
        <w:t>10</w:t>
      </w:r>
      <w:r>
        <w:rPr>
          <w:color w:val="auto"/>
        </w:rPr>
        <w:fldChar w:fldCharType="end"/>
      </w:r>
      <w:r>
        <w:rPr>
          <w:rFonts w:hint="eastAsia" w:ascii="宋体" w:hAnsi="宋体" w:cs="宋体"/>
          <w:bCs/>
          <w:caps/>
          <w:color w:val="auto"/>
          <w:highlight w:val="none"/>
        </w:rPr>
        <w:fldChar w:fldCharType="end"/>
      </w:r>
    </w:p>
    <w:p>
      <w:pPr>
        <w:pStyle w:val="28"/>
        <w:tabs>
          <w:tab w:val="right" w:leader="dot" w:pos="9638"/>
        </w:tabs>
        <w:rPr>
          <w:color w:val="auto"/>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_Toc29226 </w:instrText>
      </w:r>
      <w:r>
        <w:rPr>
          <w:rFonts w:hint="eastAsia" w:ascii="宋体" w:hAnsi="宋体" w:cs="宋体"/>
          <w:bCs/>
          <w:caps/>
          <w:color w:val="auto"/>
          <w:highlight w:val="none"/>
        </w:rPr>
        <w:fldChar w:fldCharType="separate"/>
      </w:r>
      <w:r>
        <w:rPr>
          <w:rFonts w:hint="eastAsia"/>
          <w:color w:val="auto"/>
        </w:rPr>
        <w:t xml:space="preserve">第三章 </w:t>
      </w:r>
      <w:r>
        <w:rPr>
          <w:rFonts w:hint="eastAsia" w:ascii="宋体" w:hAnsi="宋体" w:cs="宋体"/>
          <w:color w:val="auto"/>
          <w:highlight w:val="none"/>
        </w:rPr>
        <w:t>评标办法（经评审的最低投标价法）</w:t>
      </w:r>
      <w:r>
        <w:rPr>
          <w:color w:val="auto"/>
        </w:rPr>
        <w:tab/>
      </w:r>
      <w:r>
        <w:rPr>
          <w:color w:val="auto"/>
        </w:rPr>
        <w:fldChar w:fldCharType="begin"/>
      </w:r>
      <w:r>
        <w:rPr>
          <w:color w:val="auto"/>
        </w:rPr>
        <w:instrText xml:space="preserve"> PAGEREF _Toc29226 \h </w:instrText>
      </w:r>
      <w:r>
        <w:rPr>
          <w:color w:val="auto"/>
        </w:rPr>
        <w:fldChar w:fldCharType="separate"/>
      </w:r>
      <w:r>
        <w:rPr>
          <w:color w:val="auto"/>
        </w:rPr>
        <w:t>12</w:t>
      </w:r>
      <w:r>
        <w:rPr>
          <w:color w:val="auto"/>
        </w:rPr>
        <w:fldChar w:fldCharType="end"/>
      </w:r>
      <w:r>
        <w:rPr>
          <w:rFonts w:hint="eastAsia" w:ascii="宋体" w:hAnsi="宋体" w:cs="宋体"/>
          <w:bCs/>
          <w:caps/>
          <w:color w:val="auto"/>
          <w:highlight w:val="none"/>
        </w:rPr>
        <w:fldChar w:fldCharType="end"/>
      </w:r>
    </w:p>
    <w:p>
      <w:pPr>
        <w:pStyle w:val="34"/>
        <w:tabs>
          <w:tab w:val="right" w:leader="dot" w:pos="9638"/>
        </w:tabs>
        <w:rPr>
          <w:color w:val="auto"/>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_Toc15534 </w:instrText>
      </w:r>
      <w:r>
        <w:rPr>
          <w:rFonts w:hint="eastAsia" w:ascii="宋体" w:hAnsi="宋体" w:cs="宋体"/>
          <w:bCs/>
          <w:caps/>
          <w:color w:val="auto"/>
          <w:highlight w:val="none"/>
        </w:rPr>
        <w:fldChar w:fldCharType="separate"/>
      </w:r>
      <w:r>
        <w:rPr>
          <w:rFonts w:hint="eastAsia" w:ascii="宋体" w:hAnsi="宋体" w:cs="宋体"/>
          <w:color w:val="auto"/>
          <w:szCs w:val="21"/>
          <w:highlight w:val="none"/>
        </w:rPr>
        <w:t>1. 评标方法</w:t>
      </w:r>
      <w:r>
        <w:rPr>
          <w:color w:val="auto"/>
        </w:rPr>
        <w:tab/>
      </w:r>
      <w:r>
        <w:rPr>
          <w:color w:val="auto"/>
        </w:rPr>
        <w:fldChar w:fldCharType="begin"/>
      </w:r>
      <w:r>
        <w:rPr>
          <w:color w:val="auto"/>
        </w:rPr>
        <w:instrText xml:space="preserve"> PAGEREF _Toc15534 \h </w:instrText>
      </w:r>
      <w:r>
        <w:rPr>
          <w:color w:val="auto"/>
        </w:rPr>
        <w:fldChar w:fldCharType="separate"/>
      </w:r>
      <w:r>
        <w:rPr>
          <w:color w:val="auto"/>
        </w:rPr>
        <w:t>14</w:t>
      </w:r>
      <w:r>
        <w:rPr>
          <w:color w:val="auto"/>
        </w:rPr>
        <w:fldChar w:fldCharType="end"/>
      </w:r>
      <w:r>
        <w:rPr>
          <w:rFonts w:hint="eastAsia" w:ascii="宋体" w:hAnsi="宋体" w:cs="宋体"/>
          <w:bCs/>
          <w:caps/>
          <w:color w:val="auto"/>
          <w:highlight w:val="none"/>
        </w:rPr>
        <w:fldChar w:fldCharType="end"/>
      </w:r>
    </w:p>
    <w:p>
      <w:pPr>
        <w:pStyle w:val="34"/>
        <w:tabs>
          <w:tab w:val="right" w:leader="dot" w:pos="9638"/>
        </w:tabs>
        <w:rPr>
          <w:color w:val="auto"/>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_Toc14299 </w:instrText>
      </w:r>
      <w:r>
        <w:rPr>
          <w:rFonts w:hint="eastAsia" w:ascii="宋体" w:hAnsi="宋体" w:cs="宋体"/>
          <w:bCs/>
          <w:caps/>
          <w:color w:val="auto"/>
          <w:highlight w:val="none"/>
        </w:rPr>
        <w:fldChar w:fldCharType="separate"/>
      </w:r>
      <w:r>
        <w:rPr>
          <w:rFonts w:hint="eastAsia" w:ascii="宋体" w:hAnsi="宋体" w:cs="宋体"/>
          <w:color w:val="auto"/>
          <w:szCs w:val="21"/>
          <w:highlight w:val="none"/>
        </w:rPr>
        <w:t>2. 评审标准</w:t>
      </w:r>
      <w:r>
        <w:rPr>
          <w:color w:val="auto"/>
        </w:rPr>
        <w:tab/>
      </w:r>
      <w:r>
        <w:rPr>
          <w:color w:val="auto"/>
        </w:rPr>
        <w:fldChar w:fldCharType="begin"/>
      </w:r>
      <w:r>
        <w:rPr>
          <w:color w:val="auto"/>
        </w:rPr>
        <w:instrText xml:space="preserve"> PAGEREF _Toc14299 \h </w:instrText>
      </w:r>
      <w:r>
        <w:rPr>
          <w:color w:val="auto"/>
        </w:rPr>
        <w:fldChar w:fldCharType="separate"/>
      </w:r>
      <w:r>
        <w:rPr>
          <w:color w:val="auto"/>
        </w:rPr>
        <w:t>14</w:t>
      </w:r>
      <w:r>
        <w:rPr>
          <w:color w:val="auto"/>
        </w:rPr>
        <w:fldChar w:fldCharType="end"/>
      </w:r>
      <w:r>
        <w:rPr>
          <w:rFonts w:hint="eastAsia" w:ascii="宋体" w:hAnsi="宋体" w:cs="宋体"/>
          <w:bCs/>
          <w:caps/>
          <w:color w:val="auto"/>
          <w:highlight w:val="none"/>
        </w:rPr>
        <w:fldChar w:fldCharType="end"/>
      </w:r>
    </w:p>
    <w:p>
      <w:pPr>
        <w:pStyle w:val="34"/>
        <w:tabs>
          <w:tab w:val="right" w:leader="dot" w:pos="9638"/>
        </w:tabs>
        <w:rPr>
          <w:color w:val="auto"/>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_Toc32470 </w:instrText>
      </w:r>
      <w:r>
        <w:rPr>
          <w:rFonts w:hint="eastAsia" w:ascii="宋体" w:hAnsi="宋体" w:cs="宋体"/>
          <w:bCs/>
          <w:caps/>
          <w:color w:val="auto"/>
          <w:highlight w:val="none"/>
        </w:rPr>
        <w:fldChar w:fldCharType="separate"/>
      </w:r>
      <w:r>
        <w:rPr>
          <w:rFonts w:hint="eastAsia" w:ascii="宋体" w:hAnsi="宋体" w:cs="宋体"/>
          <w:color w:val="auto"/>
          <w:szCs w:val="21"/>
          <w:highlight w:val="none"/>
          <w:lang w:val="en-US" w:eastAsia="zh-CN"/>
        </w:rPr>
        <w:t>3. 评标程序</w:t>
      </w:r>
      <w:r>
        <w:rPr>
          <w:color w:val="auto"/>
        </w:rPr>
        <w:tab/>
      </w:r>
      <w:r>
        <w:rPr>
          <w:color w:val="auto"/>
        </w:rPr>
        <w:fldChar w:fldCharType="begin"/>
      </w:r>
      <w:r>
        <w:rPr>
          <w:color w:val="auto"/>
        </w:rPr>
        <w:instrText xml:space="preserve"> PAGEREF _Toc32470 \h </w:instrText>
      </w:r>
      <w:r>
        <w:rPr>
          <w:color w:val="auto"/>
        </w:rPr>
        <w:fldChar w:fldCharType="separate"/>
      </w:r>
      <w:r>
        <w:rPr>
          <w:color w:val="auto"/>
        </w:rPr>
        <w:t>14</w:t>
      </w:r>
      <w:r>
        <w:rPr>
          <w:color w:val="auto"/>
        </w:rPr>
        <w:fldChar w:fldCharType="end"/>
      </w:r>
      <w:r>
        <w:rPr>
          <w:rFonts w:hint="eastAsia" w:ascii="宋体" w:hAnsi="宋体" w:cs="宋体"/>
          <w:bCs/>
          <w:caps/>
          <w:color w:val="auto"/>
          <w:highlight w:val="none"/>
        </w:rPr>
        <w:fldChar w:fldCharType="end"/>
      </w:r>
    </w:p>
    <w:p>
      <w:pPr>
        <w:pStyle w:val="28"/>
        <w:tabs>
          <w:tab w:val="right" w:leader="dot" w:pos="9638"/>
        </w:tabs>
        <w:rPr>
          <w:color w:val="auto"/>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_Toc26193 </w:instrText>
      </w:r>
      <w:r>
        <w:rPr>
          <w:rFonts w:hint="eastAsia" w:ascii="宋体" w:hAnsi="宋体" w:cs="宋体"/>
          <w:bCs/>
          <w:caps/>
          <w:color w:val="auto"/>
          <w:highlight w:val="none"/>
        </w:rPr>
        <w:fldChar w:fldCharType="separate"/>
      </w:r>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r>
        <w:rPr>
          <w:rFonts w:hint="eastAsia" w:ascii="宋体" w:hAnsi="宋体" w:cs="宋体"/>
          <w:color w:val="auto"/>
          <w:highlight w:val="none"/>
          <w:lang w:val="en-US" w:eastAsia="zh-CN"/>
        </w:rPr>
        <w:t>服务要求</w:t>
      </w:r>
      <w:r>
        <w:rPr>
          <w:color w:val="auto"/>
        </w:rPr>
        <w:tab/>
      </w:r>
      <w:r>
        <w:rPr>
          <w:color w:val="auto"/>
        </w:rPr>
        <w:fldChar w:fldCharType="begin"/>
      </w:r>
      <w:r>
        <w:rPr>
          <w:color w:val="auto"/>
        </w:rPr>
        <w:instrText xml:space="preserve"> PAGEREF _Toc26193 \h </w:instrText>
      </w:r>
      <w:r>
        <w:rPr>
          <w:color w:val="auto"/>
        </w:rPr>
        <w:fldChar w:fldCharType="separate"/>
      </w:r>
      <w:r>
        <w:rPr>
          <w:color w:val="auto"/>
        </w:rPr>
        <w:t>16</w:t>
      </w:r>
      <w:r>
        <w:rPr>
          <w:color w:val="auto"/>
        </w:rPr>
        <w:fldChar w:fldCharType="end"/>
      </w:r>
      <w:r>
        <w:rPr>
          <w:rFonts w:hint="eastAsia" w:ascii="宋体" w:hAnsi="宋体" w:cs="宋体"/>
          <w:bCs/>
          <w:caps/>
          <w:color w:val="auto"/>
          <w:highlight w:val="none"/>
        </w:rPr>
        <w:fldChar w:fldCharType="end"/>
      </w:r>
    </w:p>
    <w:p>
      <w:pPr>
        <w:pStyle w:val="28"/>
        <w:tabs>
          <w:tab w:val="right" w:leader="dot" w:pos="9638"/>
        </w:tabs>
        <w:rPr>
          <w:color w:val="auto"/>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_Toc2248 </w:instrText>
      </w:r>
      <w:r>
        <w:rPr>
          <w:rFonts w:hint="eastAsia" w:ascii="宋体" w:hAnsi="宋体" w:cs="宋体"/>
          <w:bCs/>
          <w:caps/>
          <w:color w:val="auto"/>
          <w:highlight w:val="none"/>
        </w:rPr>
        <w:fldChar w:fldCharType="separate"/>
      </w:r>
      <w:r>
        <w:rPr>
          <w:rFonts w:hint="eastAsia" w:ascii="宋体" w:hAnsi="宋体" w:eastAsia="宋体" w:cs="宋体"/>
          <w:bCs/>
          <w:color w:val="auto"/>
          <w:kern w:val="44"/>
          <w:szCs w:val="44"/>
          <w:highlight w:val="none"/>
          <w:lang w:val="en-US" w:eastAsia="zh-CN" w:bidi="ar-SA"/>
        </w:rPr>
        <w:t>第五章  合同范本</w:t>
      </w:r>
      <w:r>
        <w:rPr>
          <w:color w:val="auto"/>
        </w:rPr>
        <w:tab/>
      </w:r>
      <w:r>
        <w:rPr>
          <w:color w:val="auto"/>
        </w:rPr>
        <w:fldChar w:fldCharType="begin"/>
      </w:r>
      <w:r>
        <w:rPr>
          <w:color w:val="auto"/>
        </w:rPr>
        <w:instrText xml:space="preserve"> PAGEREF _Toc2248 \h </w:instrText>
      </w:r>
      <w:r>
        <w:rPr>
          <w:color w:val="auto"/>
        </w:rPr>
        <w:fldChar w:fldCharType="separate"/>
      </w:r>
      <w:r>
        <w:rPr>
          <w:color w:val="auto"/>
        </w:rPr>
        <w:t>17</w:t>
      </w:r>
      <w:r>
        <w:rPr>
          <w:color w:val="auto"/>
        </w:rPr>
        <w:fldChar w:fldCharType="end"/>
      </w:r>
      <w:r>
        <w:rPr>
          <w:rFonts w:hint="eastAsia" w:ascii="宋体" w:hAnsi="宋体" w:cs="宋体"/>
          <w:bCs/>
          <w:caps/>
          <w:color w:val="auto"/>
          <w:highlight w:val="none"/>
        </w:rPr>
        <w:fldChar w:fldCharType="end"/>
      </w:r>
    </w:p>
    <w:p>
      <w:pPr>
        <w:pStyle w:val="28"/>
        <w:tabs>
          <w:tab w:val="right" w:leader="dot" w:pos="9638"/>
        </w:tabs>
        <w:rPr>
          <w:color w:val="auto"/>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_Toc11294 </w:instrText>
      </w:r>
      <w:r>
        <w:rPr>
          <w:rFonts w:hint="eastAsia" w:ascii="宋体" w:hAnsi="宋体" w:cs="宋体"/>
          <w:bCs/>
          <w:caps/>
          <w:color w:val="auto"/>
          <w:highlight w:val="none"/>
        </w:rPr>
        <w:fldChar w:fldCharType="separate"/>
      </w:r>
      <w:r>
        <w:rPr>
          <w:rFonts w:hint="eastAsia" w:ascii="宋体" w:hAnsi="宋体" w:cs="宋体"/>
          <w:color w:val="auto"/>
          <w:highlight w:val="none"/>
        </w:rPr>
        <w:t>第</w:t>
      </w:r>
      <w:r>
        <w:rPr>
          <w:rFonts w:hint="eastAsia" w:ascii="宋体" w:hAnsi="宋体" w:cs="宋体"/>
          <w:color w:val="auto"/>
          <w:highlight w:val="none"/>
          <w:lang w:val="en-US" w:eastAsia="zh-CN"/>
        </w:rPr>
        <w:t>六</w:t>
      </w:r>
      <w:r>
        <w:rPr>
          <w:rFonts w:hint="eastAsia" w:ascii="宋体" w:hAnsi="宋体" w:cs="宋体"/>
          <w:color w:val="auto"/>
          <w:highlight w:val="none"/>
        </w:rPr>
        <w:t>章  竞争性比选响应文件格式</w:t>
      </w:r>
      <w:r>
        <w:rPr>
          <w:color w:val="auto"/>
        </w:rPr>
        <w:tab/>
      </w:r>
      <w:r>
        <w:rPr>
          <w:color w:val="auto"/>
        </w:rPr>
        <w:fldChar w:fldCharType="begin"/>
      </w:r>
      <w:r>
        <w:rPr>
          <w:color w:val="auto"/>
        </w:rPr>
        <w:instrText xml:space="preserve"> PAGEREF _Toc11294 \h </w:instrText>
      </w:r>
      <w:r>
        <w:rPr>
          <w:color w:val="auto"/>
        </w:rPr>
        <w:fldChar w:fldCharType="separate"/>
      </w:r>
      <w:r>
        <w:rPr>
          <w:color w:val="auto"/>
        </w:rPr>
        <w:t>22</w:t>
      </w:r>
      <w:r>
        <w:rPr>
          <w:color w:val="auto"/>
        </w:rPr>
        <w:fldChar w:fldCharType="end"/>
      </w:r>
      <w:r>
        <w:rPr>
          <w:rFonts w:hint="eastAsia" w:ascii="宋体" w:hAnsi="宋体" w:cs="宋体"/>
          <w:bCs/>
          <w:caps/>
          <w:color w:val="auto"/>
          <w:highlight w:val="none"/>
        </w:rPr>
        <w:fldChar w:fldCharType="end"/>
      </w:r>
    </w:p>
    <w:p>
      <w:pPr>
        <w:pStyle w:val="34"/>
        <w:tabs>
          <w:tab w:val="right" w:leader="dot" w:pos="9638"/>
        </w:tabs>
        <w:rPr>
          <w:color w:val="auto"/>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_Toc8599 </w:instrText>
      </w:r>
      <w:r>
        <w:rPr>
          <w:rFonts w:hint="eastAsia" w:ascii="宋体" w:hAnsi="宋体" w:cs="宋体"/>
          <w:bCs/>
          <w:caps/>
          <w:color w:val="auto"/>
          <w:highlight w:val="none"/>
        </w:rPr>
        <w:fldChar w:fldCharType="separate"/>
      </w:r>
      <w:r>
        <w:rPr>
          <w:rFonts w:hint="eastAsia" w:ascii="宋体" w:hAnsi="宋体" w:eastAsia="宋体" w:cs="宋体"/>
          <w:color w:val="auto"/>
        </w:rPr>
        <w:t xml:space="preserve">一、 </w:t>
      </w:r>
      <w:r>
        <w:rPr>
          <w:rFonts w:hint="eastAsia" w:ascii="宋体" w:hAnsi="宋体" w:eastAsia="宋体" w:cs="宋体"/>
          <w:color w:val="auto"/>
          <w:highlight w:val="none"/>
        </w:rPr>
        <w:t>竞争比选响应声明书</w:t>
      </w:r>
      <w:r>
        <w:rPr>
          <w:color w:val="auto"/>
        </w:rPr>
        <w:tab/>
      </w:r>
      <w:r>
        <w:rPr>
          <w:color w:val="auto"/>
        </w:rPr>
        <w:fldChar w:fldCharType="begin"/>
      </w:r>
      <w:r>
        <w:rPr>
          <w:color w:val="auto"/>
        </w:rPr>
        <w:instrText xml:space="preserve"> PAGEREF _Toc8599 \h </w:instrText>
      </w:r>
      <w:r>
        <w:rPr>
          <w:color w:val="auto"/>
        </w:rPr>
        <w:fldChar w:fldCharType="separate"/>
      </w:r>
      <w:r>
        <w:rPr>
          <w:color w:val="auto"/>
        </w:rPr>
        <w:t>25</w:t>
      </w:r>
      <w:r>
        <w:rPr>
          <w:color w:val="auto"/>
        </w:rPr>
        <w:fldChar w:fldCharType="end"/>
      </w:r>
      <w:r>
        <w:rPr>
          <w:rFonts w:hint="eastAsia" w:ascii="宋体" w:hAnsi="宋体" w:cs="宋体"/>
          <w:bCs/>
          <w:caps/>
          <w:color w:val="auto"/>
          <w:highlight w:val="none"/>
        </w:rPr>
        <w:fldChar w:fldCharType="end"/>
      </w:r>
    </w:p>
    <w:p>
      <w:pPr>
        <w:pStyle w:val="34"/>
        <w:tabs>
          <w:tab w:val="right" w:leader="dot" w:pos="9638"/>
        </w:tabs>
        <w:rPr>
          <w:color w:val="auto"/>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_Toc25515 </w:instrText>
      </w:r>
      <w:r>
        <w:rPr>
          <w:rFonts w:hint="eastAsia" w:ascii="宋体" w:hAnsi="宋体" w:cs="宋体"/>
          <w:bCs/>
          <w:caps/>
          <w:color w:val="auto"/>
          <w:highlight w:val="none"/>
        </w:rPr>
        <w:fldChar w:fldCharType="separate"/>
      </w:r>
      <w:r>
        <w:rPr>
          <w:rFonts w:hint="eastAsia" w:ascii="宋体" w:hAnsi="宋体" w:eastAsia="宋体" w:cs="宋体"/>
          <w:color w:val="auto"/>
        </w:rPr>
        <w:t xml:space="preserve">二、 </w:t>
      </w:r>
      <w:r>
        <w:rPr>
          <w:rFonts w:hint="eastAsia" w:ascii="宋体" w:hAnsi="宋体" w:eastAsia="宋体" w:cs="宋体"/>
          <w:color w:val="auto"/>
          <w:highlight w:val="none"/>
        </w:rPr>
        <w:t>法定代表人身份证明或法定代表人授权委托书</w:t>
      </w:r>
      <w:r>
        <w:rPr>
          <w:color w:val="auto"/>
        </w:rPr>
        <w:tab/>
      </w:r>
      <w:r>
        <w:rPr>
          <w:color w:val="auto"/>
        </w:rPr>
        <w:fldChar w:fldCharType="begin"/>
      </w:r>
      <w:r>
        <w:rPr>
          <w:color w:val="auto"/>
        </w:rPr>
        <w:instrText xml:space="preserve"> PAGEREF _Toc25515 \h </w:instrText>
      </w:r>
      <w:r>
        <w:rPr>
          <w:color w:val="auto"/>
        </w:rPr>
        <w:fldChar w:fldCharType="separate"/>
      </w:r>
      <w:r>
        <w:rPr>
          <w:color w:val="auto"/>
        </w:rPr>
        <w:t>26</w:t>
      </w:r>
      <w:r>
        <w:rPr>
          <w:color w:val="auto"/>
        </w:rPr>
        <w:fldChar w:fldCharType="end"/>
      </w:r>
      <w:r>
        <w:rPr>
          <w:rFonts w:hint="eastAsia" w:ascii="宋体" w:hAnsi="宋体" w:cs="宋体"/>
          <w:bCs/>
          <w:caps/>
          <w:color w:val="auto"/>
          <w:highlight w:val="none"/>
        </w:rPr>
        <w:fldChar w:fldCharType="end"/>
      </w:r>
    </w:p>
    <w:p>
      <w:pPr>
        <w:pStyle w:val="34"/>
        <w:tabs>
          <w:tab w:val="right" w:leader="dot" w:pos="9638"/>
        </w:tabs>
        <w:rPr>
          <w:color w:val="auto"/>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_Toc13095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三、报价一览表</w:t>
      </w:r>
      <w:r>
        <w:rPr>
          <w:color w:val="auto"/>
        </w:rPr>
        <w:tab/>
      </w:r>
      <w:r>
        <w:rPr>
          <w:color w:val="auto"/>
        </w:rPr>
        <w:fldChar w:fldCharType="begin"/>
      </w:r>
      <w:r>
        <w:rPr>
          <w:color w:val="auto"/>
        </w:rPr>
        <w:instrText xml:space="preserve"> PAGEREF _Toc13095 \h </w:instrText>
      </w:r>
      <w:r>
        <w:rPr>
          <w:color w:val="auto"/>
        </w:rPr>
        <w:fldChar w:fldCharType="separate"/>
      </w:r>
      <w:r>
        <w:rPr>
          <w:color w:val="auto"/>
        </w:rPr>
        <w:t>28</w:t>
      </w:r>
      <w:r>
        <w:rPr>
          <w:color w:val="auto"/>
        </w:rPr>
        <w:fldChar w:fldCharType="end"/>
      </w:r>
      <w:r>
        <w:rPr>
          <w:rFonts w:hint="eastAsia" w:ascii="宋体" w:hAnsi="宋体" w:cs="宋体"/>
          <w:bCs/>
          <w:caps/>
          <w:color w:val="auto"/>
          <w:highlight w:val="none"/>
        </w:rPr>
        <w:fldChar w:fldCharType="end"/>
      </w:r>
    </w:p>
    <w:p>
      <w:pPr>
        <w:pStyle w:val="34"/>
        <w:tabs>
          <w:tab w:val="right" w:leader="dot" w:pos="9638"/>
        </w:tabs>
        <w:rPr>
          <w:color w:val="auto"/>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_Toc19454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四、资格审查资料</w:t>
      </w:r>
      <w:r>
        <w:rPr>
          <w:color w:val="auto"/>
        </w:rPr>
        <w:tab/>
      </w:r>
      <w:r>
        <w:rPr>
          <w:color w:val="auto"/>
        </w:rPr>
        <w:fldChar w:fldCharType="begin"/>
      </w:r>
      <w:r>
        <w:rPr>
          <w:color w:val="auto"/>
        </w:rPr>
        <w:instrText xml:space="preserve"> PAGEREF _Toc19454 \h </w:instrText>
      </w:r>
      <w:r>
        <w:rPr>
          <w:color w:val="auto"/>
        </w:rPr>
        <w:fldChar w:fldCharType="separate"/>
      </w:r>
      <w:r>
        <w:rPr>
          <w:color w:val="auto"/>
        </w:rPr>
        <w:t>29</w:t>
      </w:r>
      <w:r>
        <w:rPr>
          <w:color w:val="auto"/>
        </w:rPr>
        <w:fldChar w:fldCharType="end"/>
      </w:r>
      <w:r>
        <w:rPr>
          <w:rFonts w:hint="eastAsia" w:ascii="宋体" w:hAnsi="宋体" w:cs="宋体"/>
          <w:bCs/>
          <w:caps/>
          <w:color w:val="auto"/>
          <w:highlight w:val="none"/>
        </w:rPr>
        <w:fldChar w:fldCharType="end"/>
      </w:r>
    </w:p>
    <w:p>
      <w:pPr>
        <w:pStyle w:val="34"/>
        <w:tabs>
          <w:tab w:val="right" w:leader="dot" w:pos="9638"/>
        </w:tabs>
        <w:rPr>
          <w:color w:val="auto"/>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_Toc21066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五、报价人承诺</w:t>
      </w:r>
      <w:r>
        <w:rPr>
          <w:color w:val="auto"/>
        </w:rPr>
        <w:tab/>
      </w:r>
      <w:r>
        <w:rPr>
          <w:color w:val="auto"/>
        </w:rPr>
        <w:fldChar w:fldCharType="begin"/>
      </w:r>
      <w:r>
        <w:rPr>
          <w:color w:val="auto"/>
        </w:rPr>
        <w:instrText xml:space="preserve"> PAGEREF _Toc21066 \h </w:instrText>
      </w:r>
      <w:r>
        <w:rPr>
          <w:color w:val="auto"/>
        </w:rPr>
        <w:fldChar w:fldCharType="separate"/>
      </w:r>
      <w:r>
        <w:rPr>
          <w:color w:val="auto"/>
        </w:rPr>
        <w:t>32</w:t>
      </w:r>
      <w:r>
        <w:rPr>
          <w:color w:val="auto"/>
        </w:rPr>
        <w:fldChar w:fldCharType="end"/>
      </w:r>
      <w:r>
        <w:rPr>
          <w:rFonts w:hint="eastAsia" w:ascii="宋体" w:hAnsi="宋体" w:cs="宋体"/>
          <w:bCs/>
          <w:caps/>
          <w:color w:val="auto"/>
          <w:highlight w:val="none"/>
        </w:rPr>
        <w:fldChar w:fldCharType="end"/>
      </w:r>
    </w:p>
    <w:p>
      <w:pPr>
        <w:pStyle w:val="34"/>
        <w:tabs>
          <w:tab w:val="right" w:leader="dot" w:pos="9638"/>
        </w:tabs>
        <w:rPr>
          <w:color w:val="auto"/>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_Toc22750 </w:instrText>
      </w:r>
      <w:r>
        <w:rPr>
          <w:rFonts w:hint="eastAsia" w:ascii="宋体" w:hAnsi="宋体" w:cs="宋体"/>
          <w:bCs/>
          <w:caps/>
          <w:color w:val="auto"/>
          <w:highlight w:val="none"/>
        </w:rPr>
        <w:fldChar w:fldCharType="separate"/>
      </w:r>
      <w:r>
        <w:rPr>
          <w:rFonts w:hint="eastAsia" w:ascii="宋体" w:hAnsi="宋体" w:eastAsia="宋体" w:cs="宋体"/>
          <w:bCs/>
          <w:color w:val="auto"/>
          <w:kern w:val="0"/>
          <w:szCs w:val="32"/>
          <w:highlight w:val="none"/>
          <w:lang w:val="en-US" w:eastAsia="zh-CN" w:bidi="ar-SA"/>
        </w:rPr>
        <w:t>六、报价人其他资料</w:t>
      </w:r>
      <w:r>
        <w:rPr>
          <w:color w:val="auto"/>
        </w:rPr>
        <w:tab/>
      </w:r>
      <w:r>
        <w:rPr>
          <w:color w:val="auto"/>
        </w:rPr>
        <w:fldChar w:fldCharType="begin"/>
      </w:r>
      <w:r>
        <w:rPr>
          <w:color w:val="auto"/>
        </w:rPr>
        <w:instrText xml:space="preserve"> PAGEREF _Toc22750 \h </w:instrText>
      </w:r>
      <w:r>
        <w:rPr>
          <w:color w:val="auto"/>
        </w:rPr>
        <w:fldChar w:fldCharType="separate"/>
      </w:r>
      <w:r>
        <w:rPr>
          <w:color w:val="auto"/>
        </w:rPr>
        <w:t>33</w:t>
      </w:r>
      <w:r>
        <w:rPr>
          <w:color w:val="auto"/>
        </w:rPr>
        <w:fldChar w:fldCharType="end"/>
      </w:r>
      <w:r>
        <w:rPr>
          <w:rFonts w:hint="eastAsia" w:ascii="宋体" w:hAnsi="宋体" w:cs="宋体"/>
          <w:bCs/>
          <w:caps/>
          <w:color w:val="auto"/>
          <w:highlight w:val="none"/>
        </w:rPr>
        <w:fldChar w:fldCharType="end"/>
      </w:r>
    </w:p>
    <w:p>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bookmarkStart w:id="5" w:name="_Toc246996900"/>
      <w:bookmarkStart w:id="6" w:name="_Toc507319890"/>
      <w:bookmarkStart w:id="7" w:name="_Toc247096243"/>
      <w:bookmarkStart w:id="8" w:name="_Toc152042287"/>
      <w:bookmarkStart w:id="9" w:name="_Toc152045511"/>
      <w:bookmarkStart w:id="10" w:name="_Toc144974479"/>
      <w:bookmarkStart w:id="11" w:name="_Toc2000404"/>
      <w:bookmarkStart w:id="12" w:name="_Toc246996157"/>
      <w:bookmarkStart w:id="13" w:name="_Toc247085671"/>
      <w:bookmarkStart w:id="14" w:name="_Toc179632527"/>
    </w:p>
    <w:p>
      <w:pPr>
        <w:pStyle w:val="34"/>
        <w:keepNext w:val="0"/>
        <w:keepLines w:val="0"/>
        <w:pageBreakBefore w:val="0"/>
        <w:widowControl w:val="0"/>
        <w:tabs>
          <w:tab w:val="right" w:leader="dot" w:pos="9628"/>
        </w:tabs>
        <w:kinsoku/>
        <w:wordWrap/>
        <w:overflowPunct/>
        <w:topLinePunct w:val="0"/>
        <w:autoSpaceDE/>
        <w:autoSpaceDN/>
        <w:bidi w:val="0"/>
        <w:adjustRightInd/>
        <w:snapToGrid/>
        <w:ind w:left="0"/>
        <w:jc w:val="center"/>
        <w:textAlignment w:val="auto"/>
        <w:outlineLvl w:val="0"/>
        <w:rPr>
          <w:rFonts w:hint="eastAsia" w:ascii="宋体" w:hAnsi="宋体" w:eastAsia="宋体" w:cs="宋体"/>
          <w:b/>
          <w:bCs/>
          <w:smallCaps w:val="0"/>
          <w:color w:val="auto"/>
          <w:kern w:val="44"/>
          <w:sz w:val="44"/>
          <w:szCs w:val="44"/>
          <w:highlight w:val="none"/>
          <w:lang w:val="en-US" w:eastAsia="zh-CN" w:bidi="ar-SA"/>
        </w:rPr>
      </w:pPr>
      <w:bookmarkStart w:id="15" w:name="_Toc29643"/>
      <w:r>
        <w:rPr>
          <w:rFonts w:hint="eastAsia" w:ascii="宋体" w:hAnsi="宋体" w:eastAsia="宋体" w:cs="宋体"/>
          <w:b/>
          <w:bCs/>
          <w:smallCaps w:val="0"/>
          <w:color w:val="auto"/>
          <w:kern w:val="44"/>
          <w:sz w:val="44"/>
          <w:szCs w:val="44"/>
          <w:highlight w:val="none"/>
          <w:lang w:val="en-US" w:eastAsia="zh-CN" w:bidi="ar-SA"/>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eastAsia="宋体" w:cs="宋体"/>
          <w:b/>
          <w:bCs/>
          <w:smallCaps w:val="0"/>
          <w:color w:val="auto"/>
          <w:kern w:val="44"/>
          <w:sz w:val="44"/>
          <w:szCs w:val="44"/>
          <w:highlight w:val="none"/>
          <w:lang w:val="en-US" w:eastAsia="zh-CN" w:bidi="ar-SA"/>
        </w:rPr>
        <w:t>比选公告</w:t>
      </w:r>
      <w:bookmarkEnd w:id="15"/>
    </w:p>
    <w:p>
      <w:pPr>
        <w:spacing w:line="440" w:lineRule="exact"/>
        <w:jc w:val="center"/>
        <w:rPr>
          <w:rFonts w:ascii="宋体" w:hAnsi="宋体" w:cs="宋体"/>
          <w:b/>
          <w:color w:val="auto"/>
          <w:sz w:val="28"/>
          <w:szCs w:val="28"/>
          <w:highlight w:val="none"/>
        </w:rPr>
      </w:pPr>
    </w:p>
    <w:p>
      <w:pPr>
        <w:pStyle w:val="4"/>
        <w:spacing w:before="0" w:after="0" w:line="360" w:lineRule="auto"/>
        <w:rPr>
          <w:rFonts w:ascii="宋体" w:hAnsi="宋体" w:eastAsia="宋体" w:cs="宋体"/>
          <w:color w:val="auto"/>
          <w:highlight w:val="none"/>
        </w:rPr>
      </w:pPr>
      <w:bookmarkStart w:id="16" w:name="_Toc10076"/>
      <w:bookmarkStart w:id="17" w:name="_Toc507319891"/>
      <w:bookmarkStart w:id="18" w:name="_Toc11329213"/>
      <w:bookmarkStart w:id="19" w:name="_Toc24874"/>
      <w:bookmarkStart w:id="20" w:name="_Toc247085672"/>
      <w:bookmarkStart w:id="21" w:name="_Toc144974480"/>
      <w:bookmarkStart w:id="22" w:name="_Toc27743"/>
      <w:bookmarkStart w:id="23" w:name="_Toc246996158"/>
      <w:bookmarkStart w:id="24" w:name="_Toc152042288"/>
      <w:bookmarkStart w:id="25" w:name="_Toc6549"/>
      <w:bookmarkStart w:id="26" w:name="_Toc246996901"/>
      <w:bookmarkStart w:id="27" w:name="_Toc179632528"/>
      <w:bookmarkStart w:id="28" w:name="_Toc152045512"/>
      <w:r>
        <w:rPr>
          <w:rFonts w:hint="eastAsia" w:ascii="宋体" w:hAnsi="宋体" w:eastAsia="宋体" w:cs="宋体"/>
          <w:color w:val="auto"/>
          <w:highlight w:val="none"/>
        </w:rPr>
        <w:t>1. 比选条件</w:t>
      </w:r>
      <w:bookmarkEnd w:id="16"/>
      <w:bookmarkEnd w:id="17"/>
      <w:bookmarkEnd w:id="18"/>
      <w:bookmarkEnd w:id="19"/>
      <w:bookmarkEnd w:id="20"/>
      <w:bookmarkEnd w:id="21"/>
      <w:bookmarkEnd w:id="22"/>
      <w:bookmarkEnd w:id="23"/>
      <w:bookmarkEnd w:id="24"/>
      <w:bookmarkEnd w:id="25"/>
      <w:bookmarkEnd w:id="26"/>
      <w:bookmarkEnd w:id="27"/>
      <w:bookmarkEnd w:id="28"/>
    </w:p>
    <w:p>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r>
        <w:rPr>
          <w:rFonts w:hint="eastAsia" w:ascii="宋体" w:hAnsi="宋体" w:cs="宋体"/>
          <w:color w:val="auto"/>
          <w:szCs w:val="21"/>
          <w:highlight w:val="none"/>
          <w:u w:val="single"/>
          <w:lang w:val="en-US" w:eastAsia="zh-CN"/>
        </w:rPr>
        <w:t xml:space="preserve"> 东南、南方数智运维中心维护车辆定点保养及维修服务 </w:t>
      </w:r>
      <w:r>
        <w:rPr>
          <w:rFonts w:hint="eastAsia" w:ascii="宋体" w:hAnsi="宋体" w:cs="宋体"/>
          <w:color w:val="auto"/>
          <w:szCs w:val="21"/>
          <w:highlight w:val="none"/>
        </w:rPr>
        <w:t>，采购人为</w:t>
      </w:r>
      <w:r>
        <w:rPr>
          <w:rFonts w:hint="eastAsia" w:ascii="宋体" w:hAnsi="宋体" w:cs="宋体"/>
          <w:color w:val="auto"/>
          <w:szCs w:val="21"/>
          <w:highlight w:val="none"/>
          <w:u w:val="single"/>
          <w:lang w:eastAsia="zh-CN"/>
        </w:rPr>
        <w:t>重庆首讯科技股份有限公司数智系统运维分公司</w:t>
      </w:r>
      <w:r>
        <w:rPr>
          <w:rFonts w:hint="eastAsia" w:ascii="宋体" w:hAnsi="宋体" w:cs="宋体"/>
          <w:color w:val="auto"/>
          <w:szCs w:val="21"/>
          <w:highlight w:val="none"/>
        </w:rPr>
        <w:t>，该项目已具备比选条件，现对该项目进行竞争性比选。</w:t>
      </w:r>
    </w:p>
    <w:p>
      <w:pPr>
        <w:pStyle w:val="4"/>
        <w:spacing w:before="120" w:after="0" w:line="360" w:lineRule="auto"/>
        <w:rPr>
          <w:rFonts w:ascii="宋体" w:hAnsi="宋体" w:eastAsia="宋体" w:cs="宋体"/>
          <w:color w:val="auto"/>
          <w:highlight w:val="none"/>
        </w:rPr>
      </w:pPr>
      <w:bookmarkStart w:id="29" w:name="_Toc21343"/>
      <w:bookmarkStart w:id="30" w:name="_Toc152045513"/>
      <w:bookmarkStart w:id="31" w:name="_Toc246996159"/>
      <w:bookmarkStart w:id="32" w:name="_Toc507319892"/>
      <w:bookmarkStart w:id="33" w:name="_Toc1258"/>
      <w:bookmarkStart w:id="34" w:name="_Toc247085673"/>
      <w:bookmarkStart w:id="35" w:name="_Toc246996902"/>
      <w:bookmarkStart w:id="36" w:name="_Toc152042289"/>
      <w:bookmarkStart w:id="37" w:name="_Toc10952"/>
      <w:bookmarkStart w:id="38" w:name="_Toc144974481"/>
      <w:bookmarkStart w:id="39" w:name="_Toc179632529"/>
      <w:bookmarkStart w:id="40" w:name="_Toc18109"/>
      <w:bookmarkStart w:id="41" w:name="_Toc11329214"/>
      <w:r>
        <w:rPr>
          <w:rFonts w:hint="eastAsia" w:ascii="宋体" w:hAnsi="宋体" w:eastAsia="宋体" w:cs="宋体"/>
          <w:color w:val="auto"/>
          <w:highlight w:val="none"/>
        </w:rPr>
        <w:t>2. 项目概况与比选范围</w:t>
      </w:r>
      <w:bookmarkEnd w:id="29"/>
      <w:bookmarkEnd w:id="30"/>
      <w:bookmarkEnd w:id="31"/>
      <w:bookmarkEnd w:id="32"/>
      <w:bookmarkEnd w:id="33"/>
      <w:bookmarkEnd w:id="34"/>
      <w:bookmarkEnd w:id="35"/>
      <w:bookmarkEnd w:id="36"/>
      <w:bookmarkEnd w:id="37"/>
      <w:bookmarkEnd w:id="38"/>
      <w:bookmarkEnd w:id="39"/>
      <w:bookmarkEnd w:id="40"/>
      <w:bookmarkEnd w:id="41"/>
    </w:p>
    <w:p>
      <w:pPr>
        <w:spacing w:line="420" w:lineRule="exact"/>
        <w:ind w:firstLine="420" w:firstLineChars="200"/>
        <w:rPr>
          <w:rFonts w:hint="default" w:ascii="宋体" w:hAnsi="宋体" w:cs="宋体"/>
          <w:color w:val="auto"/>
          <w:lang w:val="en-US" w:eastAsia="zh-CN"/>
        </w:rPr>
      </w:pPr>
      <w:bookmarkStart w:id="42" w:name="_Toc382816230"/>
      <w:bookmarkStart w:id="43" w:name="_Toc265234827"/>
      <w:r>
        <w:rPr>
          <w:rFonts w:hint="eastAsia" w:ascii="宋体" w:hAnsi="宋体" w:cs="宋体"/>
          <w:color w:val="auto"/>
        </w:rPr>
        <w:t>2.</w:t>
      </w:r>
      <w:r>
        <w:rPr>
          <w:rFonts w:hint="eastAsia" w:ascii="宋体" w:hAnsi="宋体" w:cs="宋体"/>
          <w:color w:val="auto"/>
          <w:lang w:val="en-US" w:eastAsia="zh-CN"/>
        </w:rPr>
        <w:t>1服务地点：</w:t>
      </w:r>
      <w:r>
        <w:rPr>
          <w:rFonts w:hint="eastAsia" w:ascii="宋体" w:hAnsi="宋体" w:cs="宋体"/>
          <w:szCs w:val="21"/>
          <w:u w:val="single"/>
          <w:lang w:eastAsia="zh-CN"/>
        </w:rPr>
        <w:t>重庆首讯科技股份有限公司数智系统运维分公司</w:t>
      </w:r>
      <w:r>
        <w:rPr>
          <w:rFonts w:hint="eastAsia" w:ascii="宋体" w:hAnsi="宋体" w:cs="宋体"/>
          <w:color w:val="auto"/>
          <w:szCs w:val="21"/>
          <w:highlight w:val="none"/>
          <w:u w:val="single"/>
          <w:lang w:val="en-US" w:eastAsia="zh-CN"/>
        </w:rPr>
        <w:t>东南、南方</w:t>
      </w:r>
      <w:r>
        <w:rPr>
          <w:rFonts w:hint="eastAsia" w:ascii="宋体" w:hAnsi="宋体" w:cs="宋体"/>
          <w:szCs w:val="21"/>
          <w:u w:val="single"/>
          <w:lang w:val="en-US" w:eastAsia="zh-CN"/>
        </w:rPr>
        <w:t>数智运维中心</w:t>
      </w:r>
      <w:r>
        <w:rPr>
          <w:rFonts w:hint="eastAsia" w:ascii="宋体" w:hAnsi="宋体" w:cs="宋体"/>
          <w:color w:val="auto"/>
          <w:szCs w:val="21"/>
          <w:u w:val="none"/>
          <w:lang w:eastAsia="zh-CN"/>
        </w:rPr>
        <w:t>。</w:t>
      </w:r>
    </w:p>
    <w:p>
      <w:pPr>
        <w:pStyle w:val="13"/>
        <w:adjustRightInd w:val="0"/>
        <w:spacing w:line="400" w:lineRule="exact"/>
        <w:rPr>
          <w:rFonts w:hint="eastAsia" w:ascii="宋体" w:hAnsi="宋体" w:eastAsia="宋体" w:cs="宋体"/>
          <w:color w:val="auto"/>
          <w:lang w:val="en-US" w:eastAsia="zh-CN"/>
        </w:rPr>
      </w:pPr>
      <w:r>
        <w:rPr>
          <w:rFonts w:hint="eastAsia" w:ascii="宋体" w:hAnsi="宋体" w:cs="宋体"/>
          <w:color w:val="auto"/>
          <w:lang w:val="en-US" w:eastAsia="zh-CN"/>
        </w:rPr>
        <w:t>2.2项目概况：</w:t>
      </w:r>
      <w:r>
        <w:rPr>
          <w:rFonts w:hint="eastAsia" w:ascii="宋体" w:hAnsi="宋体" w:eastAsia="宋体" w:cs="宋体"/>
          <w:szCs w:val="21"/>
          <w:lang w:val="en-US" w:eastAsia="zh-CN"/>
        </w:rPr>
        <w:t>东南、南方</w:t>
      </w:r>
      <w:r>
        <w:rPr>
          <w:rFonts w:hint="eastAsia" w:ascii="宋体" w:hAnsi="宋体" w:cs="宋体"/>
          <w:szCs w:val="21"/>
          <w:lang w:eastAsia="zh-CN"/>
        </w:rPr>
        <w:t>数智运维中心维护车辆定点保养及维修服务</w:t>
      </w:r>
      <w:r>
        <w:rPr>
          <w:rFonts w:hint="eastAsia" w:ascii="宋体" w:hAnsi="宋体" w:cs="宋体"/>
          <w:szCs w:val="21"/>
        </w:rPr>
        <w:t>，本次竞争性比选内容包含</w:t>
      </w:r>
      <w:r>
        <w:rPr>
          <w:rFonts w:hint="eastAsia" w:ascii="宋体" w:hAnsi="宋体" w:eastAsia="宋体" w:cs="宋体"/>
          <w:szCs w:val="21"/>
          <w:lang w:val="en-US" w:eastAsia="zh-CN"/>
        </w:rPr>
        <w:t>东南、南方</w:t>
      </w:r>
      <w:r>
        <w:rPr>
          <w:rFonts w:hint="eastAsia" w:ascii="宋体" w:hAnsi="宋体" w:cs="宋体"/>
          <w:szCs w:val="21"/>
          <w:lang w:val="en-US" w:eastAsia="zh-CN"/>
        </w:rPr>
        <w:t>数智运维中心</w:t>
      </w:r>
      <w:r>
        <w:rPr>
          <w:rFonts w:hint="eastAsia" w:ascii="宋体" w:hAnsi="宋体" w:cs="宋体"/>
          <w:szCs w:val="21"/>
        </w:rPr>
        <w:t>车辆维护</w:t>
      </w:r>
      <w:r>
        <w:rPr>
          <w:rFonts w:hint="eastAsia" w:ascii="宋体" w:hAnsi="宋体" w:cs="宋体"/>
          <w:szCs w:val="21"/>
          <w:lang w:eastAsia="zh-CN"/>
        </w:rPr>
        <w:t>、</w:t>
      </w:r>
      <w:r>
        <w:rPr>
          <w:rFonts w:hint="eastAsia" w:ascii="宋体" w:hAnsi="宋体" w:cs="宋体"/>
          <w:szCs w:val="21"/>
        </w:rPr>
        <w:t>车辆定点维修及保养服务项目的实施。</w:t>
      </w:r>
    </w:p>
    <w:p>
      <w:pPr>
        <w:spacing w:line="420" w:lineRule="exact"/>
        <w:ind w:firstLine="420" w:firstLineChars="200"/>
        <w:rPr>
          <w:rFonts w:hint="eastAsia" w:ascii="宋体" w:hAnsi="宋体" w:eastAsia="宋体" w:cs="宋体"/>
          <w:color w:val="auto"/>
          <w:szCs w:val="21"/>
          <w:highlight w:val="none"/>
          <w:u w:val="single"/>
          <w:lang w:val="en-US" w:eastAsia="zh-CN"/>
        </w:rPr>
      </w:pPr>
      <w:r>
        <w:rPr>
          <w:rFonts w:hint="eastAsia" w:ascii="宋体" w:hAnsi="宋体" w:cs="宋体"/>
          <w:color w:val="auto"/>
        </w:rPr>
        <w:t>2.</w:t>
      </w:r>
      <w:r>
        <w:rPr>
          <w:rFonts w:hint="eastAsia" w:ascii="宋体" w:hAnsi="宋体" w:cs="宋体"/>
          <w:color w:val="auto"/>
          <w:lang w:val="en-US" w:eastAsia="zh-CN"/>
        </w:rPr>
        <w:t>3</w:t>
      </w:r>
      <w:r>
        <w:rPr>
          <w:rFonts w:hint="eastAsia" w:ascii="宋体" w:hAnsi="宋体" w:cs="宋体"/>
          <w:color w:val="auto"/>
        </w:rPr>
        <w:t>项目</w:t>
      </w:r>
      <w:r>
        <w:rPr>
          <w:rFonts w:hint="eastAsia" w:ascii="宋体" w:hAnsi="宋体" w:cs="宋体"/>
          <w:color w:val="auto"/>
          <w:highlight w:val="none"/>
          <w:lang w:val="en-US" w:eastAsia="zh-CN"/>
        </w:rPr>
        <w:t>规模</w:t>
      </w:r>
      <w:r>
        <w:rPr>
          <w:rFonts w:hint="eastAsia" w:ascii="宋体" w:hAnsi="宋体" w:eastAsia="宋体" w:cs="宋体"/>
          <w:color w:val="auto"/>
          <w:szCs w:val="21"/>
          <w:highlight w:val="none"/>
        </w:rPr>
        <w:t>：约</w:t>
      </w:r>
      <w:r>
        <w:rPr>
          <w:rFonts w:hint="eastAsia" w:ascii="宋体" w:hAnsi="宋体" w:eastAsia="宋体" w:cs="宋体"/>
          <w:color w:val="auto"/>
          <w:szCs w:val="21"/>
          <w:highlight w:val="none"/>
          <w:u w:val="single"/>
        </w:rPr>
        <w:t>257816.00元</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lang w:val="en-US" w:eastAsia="zh-CN"/>
        </w:rPr>
        <w:t>1标段约</w:t>
      </w:r>
      <w:r>
        <w:rPr>
          <w:rFonts w:hint="eastAsia" w:ascii="宋体" w:hAnsi="宋体" w:eastAsia="宋体" w:cs="宋体"/>
          <w:color w:val="auto"/>
          <w:szCs w:val="21"/>
          <w:highlight w:val="none"/>
          <w:u w:val="single"/>
        </w:rPr>
        <w:t>152263.00</w:t>
      </w:r>
      <w:r>
        <w:rPr>
          <w:rFonts w:hint="eastAsia" w:ascii="宋体" w:hAnsi="宋体" w:cs="宋体"/>
          <w:color w:val="auto"/>
          <w:szCs w:val="21"/>
          <w:highlight w:val="none"/>
          <w:u w:val="single"/>
          <w:lang w:val="en-US" w:eastAsia="zh-CN"/>
        </w:rPr>
        <w:t>元，</w:t>
      </w:r>
      <w:r>
        <w:rPr>
          <w:rFonts w:hint="eastAsia" w:ascii="宋体" w:hAnsi="宋体" w:cs="宋体"/>
          <w:color w:val="auto"/>
          <w:szCs w:val="21"/>
          <w:highlight w:val="none"/>
          <w:lang w:val="en-US" w:eastAsia="zh-CN"/>
        </w:rPr>
        <w:t>2标段约</w:t>
      </w:r>
      <w:r>
        <w:rPr>
          <w:rFonts w:hint="eastAsia" w:ascii="宋体" w:hAnsi="宋体" w:eastAsia="宋体" w:cs="宋体"/>
          <w:color w:val="auto"/>
          <w:szCs w:val="21"/>
          <w:highlight w:val="none"/>
          <w:u w:val="single"/>
        </w:rPr>
        <w:t>105553.00</w:t>
      </w:r>
      <w:r>
        <w:rPr>
          <w:rFonts w:hint="eastAsia" w:ascii="宋体" w:hAnsi="宋体" w:eastAsia="宋体" w:cs="宋体"/>
          <w:color w:val="auto"/>
          <w:szCs w:val="21"/>
          <w:highlight w:val="none"/>
          <w:u w:val="single"/>
          <w:lang w:val="en-US" w:eastAsia="zh-CN"/>
        </w:rPr>
        <w:t>元</w:t>
      </w:r>
      <w:r>
        <w:rPr>
          <w:rFonts w:hint="eastAsia" w:ascii="宋体" w:hAnsi="宋体" w:cs="宋体"/>
          <w:color w:val="auto"/>
          <w:szCs w:val="21"/>
          <w:highlight w:val="none"/>
          <w:u w:val="single"/>
          <w:lang w:val="en-US" w:eastAsia="zh-CN"/>
        </w:rPr>
        <w:t>。</w:t>
      </w:r>
    </w:p>
    <w:p>
      <w:pPr>
        <w:pStyle w:val="13"/>
        <w:adjustRightInd w:val="0"/>
        <w:spacing w:line="400" w:lineRule="exact"/>
        <w:rPr>
          <w:rFonts w:hint="default" w:ascii="宋体" w:hAnsi="宋体" w:eastAsia="宋体" w:cs="宋体"/>
          <w:b/>
          <w:bCs/>
          <w:color w:val="auto"/>
          <w:highlight w:val="none"/>
          <w:u w:val="single"/>
          <w:lang w:val="en-US" w:eastAsia="zh-CN"/>
        </w:rPr>
      </w:pPr>
      <w:r>
        <w:rPr>
          <w:rFonts w:hint="eastAsia" w:ascii="宋体" w:hAnsi="宋体" w:cs="宋体"/>
          <w:color w:val="auto"/>
          <w:lang w:val="en-US" w:eastAsia="zh-CN"/>
        </w:rPr>
        <w:t>2.4</w:t>
      </w:r>
      <w:r>
        <w:rPr>
          <w:rFonts w:hint="eastAsia" w:ascii="宋体" w:hAnsi="宋体" w:cs="宋体"/>
          <w:color w:val="auto"/>
          <w:highlight w:val="none"/>
          <w:lang w:val="en-US" w:eastAsia="zh-CN"/>
        </w:rPr>
        <w:t>比选范围</w:t>
      </w:r>
      <w:r>
        <w:rPr>
          <w:rFonts w:hint="eastAsia" w:ascii="宋体" w:hAnsi="宋体" w:cs="宋体"/>
          <w:color w:val="auto"/>
        </w:rPr>
        <w:t>：</w:t>
      </w:r>
      <w:r>
        <w:rPr>
          <w:rFonts w:hint="eastAsia" w:ascii="宋体" w:hAnsi="宋体" w:cs="宋体"/>
          <w:szCs w:val="21"/>
        </w:rPr>
        <w:t>以甲方提供的车辆维修保养清单等为依据，由乙方承担本工程的车辆维修维护保养的专业任务。乙方对甲方的车辆每次进行维修维护保养价格作为比选范围。</w:t>
      </w:r>
      <w:r>
        <w:rPr>
          <w:rFonts w:hint="eastAsia" w:ascii="宋体" w:hAnsi="宋体" w:cs="宋体"/>
          <w:color w:val="auto"/>
          <w:highlight w:val="none"/>
        </w:rPr>
        <w:t>具体详见</w:t>
      </w:r>
      <w:r>
        <w:rPr>
          <w:rFonts w:hint="eastAsia" w:ascii="宋体" w:hAnsi="宋体" w:cs="宋体"/>
          <w:color w:val="auto"/>
          <w:highlight w:val="none"/>
          <w:lang w:eastAsia="zh-CN"/>
        </w:rPr>
        <w:t>“</w:t>
      </w:r>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r>
        <w:rPr>
          <w:rFonts w:hint="eastAsia" w:ascii="宋体" w:hAnsi="宋体" w:cs="宋体"/>
          <w:color w:val="auto"/>
          <w:highlight w:val="none"/>
          <w:lang w:val="en-US" w:eastAsia="zh-CN"/>
        </w:rPr>
        <w:t>服务要求</w:t>
      </w:r>
      <w:r>
        <w:rPr>
          <w:rFonts w:hint="eastAsia" w:ascii="宋体" w:hAnsi="宋体" w:cs="宋体"/>
          <w:color w:val="auto"/>
          <w:highlight w:val="none"/>
          <w:lang w:eastAsia="zh-CN"/>
        </w:rPr>
        <w:t>”</w:t>
      </w:r>
      <w:r>
        <w:rPr>
          <w:rFonts w:hint="eastAsia" w:ascii="宋体" w:hAnsi="宋体" w:cs="宋体"/>
          <w:color w:val="auto"/>
          <w:szCs w:val="21"/>
          <w:u w:val="none"/>
          <w:lang w:eastAsia="zh-CN"/>
        </w:rPr>
        <w:t>。</w:t>
      </w:r>
    </w:p>
    <w:bookmarkEnd w:id="42"/>
    <w:bookmarkEnd w:id="43"/>
    <w:p>
      <w:pPr>
        <w:spacing w:line="400" w:lineRule="exact"/>
        <w:ind w:firstLine="420" w:firstLineChars="200"/>
        <w:rPr>
          <w:rFonts w:hint="eastAsia" w:ascii="宋体" w:hAnsi="宋体" w:cs="宋体"/>
          <w:color w:val="auto"/>
          <w:szCs w:val="21"/>
        </w:rPr>
      </w:pPr>
      <w:r>
        <w:rPr>
          <w:rFonts w:hint="eastAsia" w:ascii="宋体" w:hAnsi="宋体" w:cs="宋体"/>
          <w:color w:val="auto"/>
        </w:rPr>
        <w:t>2.5服务期限：</w:t>
      </w:r>
      <w:r>
        <w:rPr>
          <w:rFonts w:hint="eastAsia" w:ascii="宋体" w:hAnsi="宋体" w:cs="宋体"/>
        </w:rPr>
        <w:t>202</w:t>
      </w:r>
      <w:r>
        <w:rPr>
          <w:rFonts w:hint="eastAsia" w:ascii="宋体" w:hAnsi="宋体" w:cs="宋体"/>
          <w:lang w:val="en-US" w:eastAsia="zh-CN"/>
        </w:rPr>
        <w:t>5</w:t>
      </w:r>
      <w:r>
        <w:rPr>
          <w:rFonts w:hint="eastAsia" w:ascii="宋体" w:hAnsi="宋体" w:cs="宋体"/>
        </w:rPr>
        <w:t>年</w:t>
      </w:r>
      <w:r>
        <w:rPr>
          <w:rFonts w:hint="eastAsia" w:ascii="宋体" w:hAnsi="宋体" w:cs="宋体"/>
          <w:lang w:val="en-US" w:eastAsia="zh-CN"/>
        </w:rPr>
        <w:t>11</w:t>
      </w:r>
      <w:r>
        <w:rPr>
          <w:rFonts w:hint="eastAsia" w:ascii="宋体" w:hAnsi="宋体" w:cs="宋体"/>
        </w:rPr>
        <w:t>月-202</w:t>
      </w:r>
      <w:r>
        <w:rPr>
          <w:rFonts w:hint="eastAsia" w:ascii="宋体" w:hAnsi="宋体" w:cs="宋体"/>
          <w:lang w:val="en-US" w:eastAsia="zh-CN"/>
        </w:rPr>
        <w:t>7</w:t>
      </w:r>
      <w:r>
        <w:rPr>
          <w:rFonts w:hint="eastAsia" w:ascii="宋体" w:hAnsi="宋体" w:cs="宋体"/>
        </w:rPr>
        <w:t>年</w:t>
      </w:r>
      <w:r>
        <w:rPr>
          <w:rFonts w:hint="eastAsia" w:ascii="宋体" w:hAnsi="宋体" w:cs="宋体"/>
          <w:lang w:val="en-US" w:eastAsia="zh-CN"/>
        </w:rPr>
        <w:t>11</w:t>
      </w:r>
      <w:r>
        <w:rPr>
          <w:rFonts w:hint="eastAsia" w:ascii="宋体" w:hAnsi="宋体" w:cs="宋体"/>
        </w:rPr>
        <w:t>月，实际时间以甲方通知为准。</w:t>
      </w:r>
    </w:p>
    <w:p>
      <w:pPr>
        <w:keepNext w:val="0"/>
        <w:keepLines w:val="0"/>
        <w:pageBreakBefore w:val="0"/>
        <w:kinsoku/>
        <w:wordWrap w:val="0"/>
        <w:overflowPunct/>
        <w:topLinePunct w:val="0"/>
        <w:bidi w:val="0"/>
        <w:snapToGrid w:val="0"/>
        <w:spacing w:line="420" w:lineRule="exact"/>
        <w:ind w:firstLine="413" w:firstLineChars="197"/>
        <w:textAlignment w:val="auto"/>
        <w:rPr>
          <w:rFonts w:hint="default" w:ascii="宋体" w:hAnsi="宋体" w:cs="宋体"/>
          <w:color w:val="auto"/>
          <w:szCs w:val="21"/>
          <w:highlight w:val="none"/>
          <w:u w:val="single"/>
          <w:lang w:val="en-US" w:eastAsia="zh-CN"/>
        </w:rPr>
      </w:pPr>
      <w:bookmarkStart w:id="44" w:name="_Toc30356"/>
      <w:bookmarkStart w:id="45" w:name="_Toc7065"/>
      <w:bookmarkStart w:id="46" w:name="_Toc144974482"/>
      <w:bookmarkStart w:id="47" w:name="_Toc152042290"/>
      <w:bookmarkStart w:id="48" w:name="_Toc179632530"/>
      <w:bookmarkStart w:id="49" w:name="_Toc152045514"/>
      <w:bookmarkStart w:id="50" w:name="_Toc10171"/>
      <w:bookmarkStart w:id="51" w:name="_Toc247085674"/>
      <w:bookmarkStart w:id="52" w:name="_Toc246996903"/>
      <w:bookmarkStart w:id="53" w:name="_Toc507319893"/>
      <w:bookmarkStart w:id="54" w:name="_Toc246996160"/>
      <w:bookmarkStart w:id="55" w:name="_Toc11329215"/>
      <w:r>
        <w:rPr>
          <w:rFonts w:hint="eastAsia" w:ascii="宋体" w:hAnsi="宋体" w:cs="宋体"/>
          <w:b w:val="0"/>
          <w:bCs w:val="0"/>
          <w:i w:val="0"/>
          <w:iCs w:val="0"/>
          <w:color w:val="auto"/>
          <w:szCs w:val="21"/>
          <w:highlight w:val="none"/>
          <w:lang w:val="en-US" w:eastAsia="zh-CN"/>
        </w:rPr>
        <w:t>2.6标段划分：</w:t>
      </w:r>
      <w:r>
        <w:rPr>
          <w:rFonts w:hint="eastAsia" w:ascii="宋体" w:hAnsi="宋体" w:cs="宋体"/>
          <w:b w:val="0"/>
          <w:bCs w:val="0"/>
          <w:color w:val="auto"/>
          <w:kern w:val="2"/>
          <w:sz w:val="21"/>
          <w:szCs w:val="24"/>
          <w:highlight w:val="none"/>
          <w:lang w:val="en-US" w:eastAsia="zh-CN" w:bidi="ar-SA"/>
        </w:rPr>
        <w:t>本项目划分为</w:t>
      </w:r>
      <w:r>
        <w:rPr>
          <w:rFonts w:hint="eastAsia" w:ascii="宋体" w:hAnsi="宋体" w:cs="宋体"/>
          <w:b w:val="0"/>
          <w:bCs w:val="0"/>
          <w:color w:val="auto"/>
          <w:kern w:val="2"/>
          <w:sz w:val="21"/>
          <w:szCs w:val="24"/>
          <w:highlight w:val="none"/>
          <w:u w:val="single"/>
          <w:lang w:val="en-US" w:eastAsia="zh-CN" w:bidi="ar-SA"/>
        </w:rPr>
        <w:t xml:space="preserve"> 2 </w:t>
      </w:r>
      <w:r>
        <w:rPr>
          <w:rFonts w:hint="eastAsia" w:ascii="宋体" w:hAnsi="宋体" w:cs="宋体"/>
          <w:b w:val="0"/>
          <w:bCs w:val="0"/>
          <w:color w:val="auto"/>
          <w:kern w:val="2"/>
          <w:sz w:val="21"/>
          <w:szCs w:val="24"/>
          <w:highlight w:val="none"/>
          <w:lang w:val="en-US" w:eastAsia="zh-CN" w:bidi="ar-SA"/>
        </w:rPr>
        <w:t>个标段。</w:t>
      </w:r>
      <w:r>
        <w:rPr>
          <w:rFonts w:hint="eastAsia" w:ascii="宋体" w:hAnsi="宋体" w:cs="宋体"/>
          <w:color w:val="auto"/>
          <w:szCs w:val="21"/>
          <w:highlight w:val="none"/>
          <w:u w:val="single"/>
          <w:lang w:val="en-US" w:eastAsia="zh-CN"/>
        </w:rPr>
        <w:t>东南数智运维中心维护车辆定点保养及维修服务为1标段，南方数智运维中心维护车辆定点保养及维修服务为2标段。同一单位仅能选择其中一个标段投标，否则投标无效。‌</w:t>
      </w:r>
    </w:p>
    <w:p>
      <w:pPr>
        <w:pStyle w:val="4"/>
        <w:spacing w:before="120" w:after="0" w:line="360" w:lineRule="auto"/>
        <w:rPr>
          <w:rFonts w:ascii="宋体" w:hAnsi="宋体" w:eastAsia="宋体" w:cs="宋体"/>
          <w:color w:val="auto"/>
          <w:highlight w:val="none"/>
        </w:rPr>
      </w:pPr>
      <w:bookmarkStart w:id="56" w:name="_Toc5542"/>
      <w:r>
        <w:rPr>
          <w:rFonts w:hint="eastAsia" w:ascii="宋体" w:hAnsi="宋体" w:eastAsia="宋体" w:cs="宋体"/>
          <w:color w:val="auto"/>
          <w:highlight w:val="none"/>
        </w:rPr>
        <w:t>3. 报价人资格要求</w:t>
      </w:r>
      <w:bookmarkEnd w:id="44"/>
      <w:bookmarkEnd w:id="45"/>
      <w:bookmarkEnd w:id="46"/>
      <w:bookmarkEnd w:id="47"/>
      <w:bookmarkEnd w:id="48"/>
      <w:bookmarkEnd w:id="49"/>
      <w:bookmarkEnd w:id="50"/>
      <w:bookmarkEnd w:id="51"/>
      <w:bookmarkEnd w:id="52"/>
      <w:bookmarkEnd w:id="53"/>
      <w:bookmarkEnd w:id="54"/>
      <w:bookmarkEnd w:id="55"/>
      <w:bookmarkEnd w:id="56"/>
    </w:p>
    <w:p>
      <w:pPr>
        <w:spacing w:line="400" w:lineRule="exact"/>
        <w:ind w:firstLine="420" w:firstLineChars="200"/>
        <w:rPr>
          <w:rFonts w:hint="eastAsia" w:ascii="宋体" w:hAnsi="宋体" w:cs="宋体"/>
          <w:color w:val="auto"/>
          <w:sz w:val="21"/>
          <w:szCs w:val="21"/>
          <w:highlight w:val="none"/>
          <w:lang w:val="en-US" w:eastAsia="zh-CN"/>
        </w:rPr>
      </w:pPr>
      <w:bookmarkStart w:id="57" w:name="_Toc179632531"/>
      <w:bookmarkStart w:id="58" w:name="_Toc152045515"/>
      <w:bookmarkStart w:id="59" w:name="_Toc144974483"/>
      <w:bookmarkStart w:id="60" w:name="_Toc246996904"/>
      <w:bookmarkStart w:id="61" w:name="_Toc152042291"/>
      <w:bookmarkStart w:id="62" w:name="_Toc247085675"/>
      <w:bookmarkStart w:id="63" w:name="_Toc246996161"/>
      <w:r>
        <w:rPr>
          <w:rFonts w:hint="eastAsia" w:ascii="宋体" w:hAnsi="宋体" w:cs="宋体"/>
          <w:color w:val="auto"/>
          <w:sz w:val="21"/>
          <w:szCs w:val="21"/>
          <w:highlight w:val="none"/>
          <w:lang w:val="en-US" w:eastAsia="zh-CN"/>
        </w:rPr>
        <w:t>3.1 资质要求：</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（1）具有独立法人资格；</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（2）具有有效的营业执照；</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（3）具有二类汽车维修资质（需具备维修本项目所有车型资质及条件）。</w:t>
      </w:r>
    </w:p>
    <w:p>
      <w:pPr>
        <w:spacing w:line="400" w:lineRule="exact"/>
        <w:ind w:firstLine="420" w:firstLineChars="200"/>
        <w:rPr>
          <w:rFonts w:hint="eastAsia" w:ascii="宋体" w:hAnsi="宋体" w:eastAsia="宋体" w:cs="宋体"/>
          <w:kern w:val="2"/>
          <w:sz w:val="21"/>
          <w:szCs w:val="21"/>
          <w:shd w:val="clear" w:color="auto" w:fill="FFFFFF"/>
          <w:lang w:val="en-US" w:eastAsia="zh-CN" w:bidi="ar-SA"/>
        </w:rPr>
      </w:pPr>
      <w:r>
        <w:rPr>
          <w:rFonts w:hint="eastAsia" w:ascii="宋体" w:hAnsi="宋体" w:cs="宋体"/>
          <w:szCs w:val="21"/>
          <w:shd w:val="clear" w:color="auto" w:fill="FFFFFF"/>
          <w:lang w:val="en-US" w:eastAsia="zh-CN"/>
        </w:rPr>
        <w:t>（4）报价人需满足在接到报修任务后1小时内到达故障车辆位置。</w:t>
      </w:r>
    </w:p>
    <w:p>
      <w:pPr>
        <w:pStyle w:val="2"/>
        <w:ind w:firstLine="420" w:firstLineChars="200"/>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 业绩要求：2022年1月1日至报价截止日期（以合同签订时间为准）至少具有一个合同金额在13万元及以上的车辆保养或维修服务等相关服务的业绩（提供合同扫描件）。</w:t>
      </w:r>
    </w:p>
    <w:p>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shd w:val="clear" w:color="auto" w:fill="FFFFFF"/>
        </w:rPr>
      </w:pPr>
      <w:r>
        <w:rPr>
          <w:rFonts w:hint="eastAsia" w:ascii="宋体" w:hAnsi="宋体" w:eastAsia="宋体" w:cs="宋体"/>
          <w:color w:val="auto"/>
          <w:kern w:val="2"/>
          <w:sz w:val="21"/>
          <w:szCs w:val="21"/>
          <w:highlight w:val="none"/>
          <w:lang w:val="en-US" w:eastAsia="zh-CN" w:bidi="ar-SA"/>
        </w:rPr>
        <w:t>3.3信誉要求：在国家企业信用信息公示系统（http://www.gsxt.gov.cn/）中未被列</w:t>
      </w:r>
      <w:r>
        <w:rPr>
          <w:rFonts w:hint="eastAsia" w:ascii="宋体" w:hAnsi="宋体" w:eastAsia="宋体" w:cs="宋体"/>
          <w:color w:val="auto"/>
          <w:sz w:val="21"/>
          <w:szCs w:val="21"/>
          <w:highlight w:val="none"/>
        </w:rPr>
        <w:t>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p>
    <w:p>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3.</w:t>
      </w:r>
      <w:r>
        <w:rPr>
          <w:rFonts w:hint="eastAsia" w:ascii="宋体" w:hAnsi="宋体" w:cs="宋体"/>
          <w:color w:val="auto"/>
          <w:szCs w:val="21"/>
          <w:highlight w:val="none"/>
          <w:shd w:val="clear" w:color="auto" w:fill="FFFFFF"/>
          <w:lang w:val="en-US" w:eastAsia="zh-CN"/>
        </w:rPr>
        <w:t>4</w:t>
      </w:r>
      <w:r>
        <w:rPr>
          <w:rFonts w:hint="eastAsia" w:ascii="宋体" w:hAnsi="宋体" w:cs="宋体"/>
          <w:color w:val="auto"/>
          <w:szCs w:val="21"/>
          <w:highlight w:val="none"/>
          <w:shd w:val="clear" w:color="auto" w:fill="FFFFFF"/>
        </w:rPr>
        <w:t xml:space="preserve"> 本次比选不接受联合体报价。</w:t>
      </w:r>
    </w:p>
    <w:p>
      <w:pPr>
        <w:spacing w:line="400" w:lineRule="exact"/>
        <w:ind w:firstLine="420" w:firstLineChars="200"/>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4"/>
          <w:shd w:val="clear" w:color="auto" w:fill="FFFFFF"/>
        </w:rPr>
        <w:t>单位负责人为同一人或者存在控股、管理关系的不同单位，不得同时参加本项目报价，否则均按无效报价处理。</w:t>
      </w:r>
    </w:p>
    <w:p>
      <w:pPr>
        <w:pStyle w:val="4"/>
        <w:spacing w:before="120" w:after="0" w:line="400" w:lineRule="exact"/>
        <w:rPr>
          <w:rFonts w:hint="eastAsia" w:ascii="宋体" w:hAnsi="宋体" w:eastAsia="宋体" w:cs="宋体"/>
          <w:color w:val="auto"/>
          <w:highlight w:val="none"/>
        </w:rPr>
      </w:pPr>
      <w:bookmarkStart w:id="64" w:name="_Toc28877"/>
      <w:bookmarkStart w:id="65" w:name="_Toc11329216"/>
      <w:bookmarkStart w:id="66" w:name="_Toc25619"/>
      <w:bookmarkStart w:id="67" w:name="_Toc12460"/>
      <w:bookmarkStart w:id="68" w:name="_Toc14361"/>
      <w:bookmarkStart w:id="69" w:name="_Toc507319894"/>
      <w:r>
        <w:rPr>
          <w:rFonts w:hint="eastAsia" w:ascii="宋体" w:hAnsi="宋体" w:eastAsia="宋体" w:cs="宋体"/>
          <w:color w:val="auto"/>
          <w:highlight w:val="none"/>
        </w:rPr>
        <w:t>4. 评标办法</w:t>
      </w:r>
      <w:bookmarkEnd w:id="64"/>
    </w:p>
    <w:p>
      <w:pPr>
        <w:keepNext/>
        <w:keepLines/>
        <w:pageBreakBefore w:val="0"/>
        <w:widowControl w:val="0"/>
        <w:kinsoku/>
        <w:wordWrap/>
        <w:overflowPunct/>
        <w:topLinePunct w:val="0"/>
        <w:autoSpaceDE/>
        <w:autoSpaceDN/>
        <w:bidi w:val="0"/>
        <w:adjustRightInd/>
        <w:snapToGrid/>
        <w:spacing w:before="120" w:after="0" w:line="400" w:lineRule="exact"/>
        <w:ind w:firstLine="420" w:firstLineChars="200"/>
        <w:textAlignment w:val="auto"/>
        <w:outlineLvl w:val="9"/>
        <w:rPr>
          <w:rFonts w:hint="default" w:ascii="宋体" w:hAnsi="宋体" w:eastAsia="宋体" w:cs="宋体"/>
          <w:b w:val="0"/>
          <w:bCs w:val="0"/>
          <w:color w:val="auto"/>
          <w:kern w:val="2"/>
          <w:sz w:val="21"/>
          <w:szCs w:val="24"/>
          <w:highlight w:val="none"/>
          <w:lang w:val="en-US" w:eastAsia="zh-CN" w:bidi="ar-SA"/>
        </w:rPr>
      </w:pPr>
      <w:r>
        <w:rPr>
          <w:rFonts w:hint="eastAsia" w:ascii="宋体" w:hAnsi="宋体" w:eastAsia="宋体" w:cs="宋体"/>
          <w:b w:val="0"/>
          <w:bCs w:val="0"/>
          <w:color w:val="auto"/>
          <w:kern w:val="2"/>
          <w:sz w:val="21"/>
          <w:szCs w:val="24"/>
          <w:highlight w:val="none"/>
          <w:lang w:val="en-US" w:eastAsia="zh-CN" w:bidi="ar-SA"/>
        </w:rPr>
        <w:t>本项目采用</w:t>
      </w:r>
      <w:r>
        <w:rPr>
          <w:rFonts w:hint="eastAsia" w:ascii="宋体" w:hAnsi="宋体" w:cs="宋体"/>
          <w:b w:val="0"/>
          <w:bCs w:val="0"/>
          <w:color w:val="auto"/>
          <w:kern w:val="2"/>
          <w:sz w:val="21"/>
          <w:szCs w:val="24"/>
          <w:highlight w:val="none"/>
          <w:lang w:val="en-US" w:eastAsia="zh-CN" w:bidi="ar-SA"/>
        </w:rPr>
        <w:t>经评审的</w:t>
      </w:r>
      <w:r>
        <w:rPr>
          <w:rFonts w:hint="eastAsia" w:ascii="宋体" w:hAnsi="宋体" w:eastAsia="宋体" w:cs="宋体"/>
          <w:b w:val="0"/>
          <w:bCs w:val="0"/>
          <w:color w:val="auto"/>
          <w:kern w:val="2"/>
          <w:sz w:val="21"/>
          <w:szCs w:val="24"/>
          <w:highlight w:val="none"/>
          <w:lang w:val="en-US" w:eastAsia="zh-CN" w:bidi="ar-SA"/>
        </w:rPr>
        <w:t>最低投标价法</w:t>
      </w:r>
      <w:r>
        <w:rPr>
          <w:rFonts w:hint="eastAsia" w:ascii="宋体" w:hAnsi="宋体" w:cs="宋体"/>
          <w:b w:val="0"/>
          <w:bCs w:val="0"/>
          <w:color w:val="auto"/>
          <w:kern w:val="2"/>
          <w:sz w:val="21"/>
          <w:szCs w:val="24"/>
          <w:highlight w:val="none"/>
          <w:lang w:val="en-US" w:eastAsia="zh-CN" w:bidi="ar-SA"/>
        </w:rPr>
        <w:t>。</w:t>
      </w:r>
    </w:p>
    <w:p>
      <w:pPr>
        <w:pStyle w:val="4"/>
        <w:spacing w:before="120" w:after="0" w:line="400" w:lineRule="exact"/>
        <w:rPr>
          <w:rFonts w:ascii="宋体" w:hAnsi="宋体" w:eastAsia="宋体" w:cs="宋体"/>
          <w:color w:val="auto"/>
          <w:highlight w:val="none"/>
        </w:rPr>
      </w:pPr>
      <w:bookmarkStart w:id="70" w:name="_Toc8694"/>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57"/>
      <w:bookmarkEnd w:id="58"/>
      <w:bookmarkEnd w:id="59"/>
      <w:bookmarkEnd w:id="60"/>
      <w:bookmarkEnd w:id="61"/>
      <w:bookmarkEnd w:id="62"/>
      <w:bookmarkEnd w:id="63"/>
      <w:bookmarkEnd w:id="65"/>
      <w:bookmarkEnd w:id="66"/>
      <w:bookmarkEnd w:id="67"/>
      <w:bookmarkEnd w:id="68"/>
      <w:bookmarkEnd w:id="69"/>
      <w:bookmarkEnd w:id="70"/>
    </w:p>
    <w:p>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71" w:name="_Toc507319895"/>
      <w:bookmarkStart w:id="72" w:name="_Toc152045516"/>
      <w:bookmarkStart w:id="73" w:name="_Toc11329217"/>
      <w:bookmarkStart w:id="74" w:name="_Toc179632532"/>
      <w:bookmarkStart w:id="75" w:name="_Toc246996162"/>
      <w:bookmarkStart w:id="76" w:name="_Toc246996905"/>
      <w:bookmarkStart w:id="77" w:name="_Toc247085676"/>
      <w:bookmarkStart w:id="78" w:name="_Toc144974484"/>
      <w:bookmarkStart w:id="79" w:name="_Toc152042292"/>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lang w:val="en-US" w:eastAsia="zh-CN"/>
        </w:rPr>
        <w:t>下同</w:t>
      </w:r>
      <w:r>
        <w:rPr>
          <w:rFonts w:hint="eastAsia" w:ascii="宋体" w:hAnsi="宋体"/>
          <w:color w:val="auto"/>
          <w:szCs w:val="21"/>
          <w:highlight w:val="none"/>
          <w:lang w:eastAsia="zh-CN"/>
        </w:rPr>
        <w:t>）</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pPr>
        <w:pStyle w:val="4"/>
        <w:spacing w:before="120" w:after="0" w:line="400" w:lineRule="exact"/>
        <w:rPr>
          <w:rFonts w:ascii="宋体" w:hAnsi="宋体" w:eastAsia="宋体" w:cs="宋体"/>
          <w:color w:val="auto"/>
          <w:highlight w:val="none"/>
        </w:rPr>
      </w:pPr>
      <w:bookmarkStart w:id="80" w:name="_Toc18060"/>
      <w:bookmarkStart w:id="81" w:name="_Toc31493"/>
      <w:bookmarkStart w:id="82" w:name="_Toc9131"/>
      <w:bookmarkStart w:id="83" w:name="_Toc16686"/>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71"/>
      <w:bookmarkEnd w:id="72"/>
      <w:bookmarkEnd w:id="73"/>
      <w:bookmarkEnd w:id="74"/>
      <w:bookmarkEnd w:id="75"/>
      <w:bookmarkEnd w:id="76"/>
      <w:bookmarkEnd w:id="77"/>
      <w:bookmarkEnd w:id="78"/>
      <w:bookmarkEnd w:id="79"/>
      <w:r>
        <w:rPr>
          <w:rFonts w:hint="eastAsia" w:ascii="宋体" w:hAnsi="宋体" w:eastAsia="宋体" w:cs="宋体"/>
          <w:color w:val="auto"/>
          <w:highlight w:val="none"/>
        </w:rPr>
        <w:t>及相关事宜</w:t>
      </w:r>
      <w:bookmarkEnd w:id="80"/>
      <w:bookmarkEnd w:id="81"/>
      <w:bookmarkEnd w:id="82"/>
      <w:bookmarkEnd w:id="83"/>
    </w:p>
    <w:p>
      <w:pPr>
        <w:spacing w:line="420" w:lineRule="exact"/>
        <w:ind w:firstLine="420" w:firstLineChars="200"/>
        <w:rPr>
          <w:rFonts w:hint="eastAsia" w:ascii="宋体" w:hAnsi="宋体" w:cs="宋体"/>
          <w:color w:val="auto"/>
          <w:szCs w:val="21"/>
        </w:rPr>
      </w:pPr>
      <w:r>
        <w:rPr>
          <w:rFonts w:hint="eastAsia" w:ascii="宋体" w:hAnsi="宋体" w:cs="宋体"/>
          <w:color w:val="auto"/>
          <w:szCs w:val="21"/>
          <w:lang w:val="en-US" w:eastAsia="zh-CN"/>
        </w:rPr>
        <w:t>6</w:t>
      </w:r>
      <w:r>
        <w:rPr>
          <w:rFonts w:hint="eastAsia" w:ascii="宋体" w:hAnsi="宋体" w:cs="宋体"/>
          <w:color w:val="auto"/>
          <w:szCs w:val="21"/>
        </w:rPr>
        <w:t>.1</w:t>
      </w:r>
      <w:r>
        <w:rPr>
          <w:rFonts w:hint="eastAsia" w:ascii="宋体" w:hAnsi="宋体" w:cs="宋体"/>
          <w:color w:val="auto"/>
          <w:szCs w:val="21"/>
          <w:highlight w:val="none"/>
        </w:rPr>
        <w:t>竞争性比选</w:t>
      </w:r>
      <w:r>
        <w:rPr>
          <w:rFonts w:hint="eastAsia" w:ascii="宋体" w:hAnsi="宋体" w:cs="宋体"/>
          <w:color w:val="auto"/>
          <w:szCs w:val="21"/>
          <w:lang w:val="en-US" w:eastAsia="zh-CN"/>
        </w:rPr>
        <w:t>响应</w:t>
      </w:r>
      <w:r>
        <w:rPr>
          <w:rFonts w:hint="eastAsia" w:ascii="宋体" w:hAnsi="宋体" w:cs="宋体"/>
          <w:color w:val="auto"/>
          <w:szCs w:val="21"/>
        </w:rPr>
        <w:t>文件递交</w:t>
      </w:r>
      <w:r>
        <w:rPr>
          <w:rFonts w:hint="eastAsia" w:ascii="宋体" w:hAnsi="宋体" w:cs="宋体"/>
          <w:color w:val="auto"/>
          <w:szCs w:val="21"/>
          <w:lang w:val="en-US" w:eastAsia="zh-CN"/>
        </w:rPr>
        <w:t>截止</w:t>
      </w:r>
      <w:r>
        <w:rPr>
          <w:rFonts w:hint="eastAsia" w:ascii="宋体" w:hAnsi="宋体" w:cs="宋体"/>
          <w:color w:val="auto"/>
          <w:szCs w:val="21"/>
        </w:rPr>
        <w:t>时间：</w:t>
      </w:r>
      <w:r>
        <w:rPr>
          <w:rFonts w:hint="eastAsia" w:ascii="宋体" w:hAnsi="宋体" w:cs="宋体"/>
          <w:color w:val="auto"/>
          <w:szCs w:val="21"/>
          <w:highlight w:val="none"/>
          <w:u w:val="single"/>
          <w:lang w:val="en-US" w:eastAsia="zh-CN"/>
        </w:rPr>
        <w:t>2025</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10</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27</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r>
        <w:rPr>
          <w:rFonts w:hint="eastAsia" w:ascii="宋体" w:hAnsi="宋体" w:cs="宋体"/>
          <w:color w:val="auto"/>
          <w:szCs w:val="21"/>
          <w:highlight w:val="none"/>
          <w:lang w:val="en-US" w:eastAsia="zh-CN"/>
        </w:rPr>
        <w:t>上</w:t>
      </w:r>
      <w:r>
        <w:rPr>
          <w:rFonts w:hint="eastAsia" w:ascii="宋体" w:hAnsi="宋体" w:cs="宋体"/>
          <w:color w:val="auto"/>
          <w:szCs w:val="21"/>
          <w:highlight w:val="none"/>
          <w:shd w:val="clear" w:color="auto" w:fill="FFFFFF"/>
        </w:rPr>
        <w:t>午1</w:t>
      </w:r>
      <w:r>
        <w:rPr>
          <w:rFonts w:hint="eastAsia" w:ascii="宋体" w:hAnsi="宋体" w:cs="宋体"/>
          <w:color w:val="auto"/>
          <w:szCs w:val="21"/>
          <w:highlight w:val="none"/>
          <w:shd w:val="clear" w:color="auto" w:fill="FFFFFF"/>
          <w:lang w:val="en-US" w:eastAsia="zh-CN"/>
        </w:rPr>
        <w:t>0</w:t>
      </w:r>
      <w:bookmarkStart w:id="252" w:name="_GoBack"/>
      <w:bookmarkEnd w:id="252"/>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0分</w:t>
      </w:r>
      <w:r>
        <w:rPr>
          <w:rFonts w:hint="eastAsia" w:ascii="宋体" w:hAnsi="宋体" w:cs="宋体"/>
          <w:color w:val="auto"/>
          <w:szCs w:val="21"/>
        </w:rPr>
        <w:t>（北京时间）。</w:t>
      </w:r>
    </w:p>
    <w:p>
      <w:pPr>
        <w:spacing w:line="420" w:lineRule="exact"/>
        <w:ind w:firstLine="420" w:firstLineChars="200"/>
        <w:rPr>
          <w:rFonts w:hint="eastAsia" w:ascii="宋体" w:hAnsi="宋体" w:cs="宋体"/>
          <w:color w:val="auto"/>
          <w:szCs w:val="21"/>
        </w:rPr>
      </w:pPr>
      <w:r>
        <w:rPr>
          <w:rFonts w:hint="eastAsia" w:ascii="宋体" w:hAnsi="宋体" w:cs="宋体"/>
          <w:color w:val="auto"/>
          <w:szCs w:val="21"/>
          <w:lang w:val="en-US" w:eastAsia="zh-CN"/>
        </w:rPr>
        <w:t>6</w:t>
      </w:r>
      <w:r>
        <w:rPr>
          <w:rFonts w:hint="eastAsia" w:ascii="宋体" w:hAnsi="宋体" w:cs="宋体"/>
          <w:color w:val="auto"/>
          <w:szCs w:val="21"/>
        </w:rPr>
        <w:t>.2开标时间：</w:t>
      </w:r>
      <w:r>
        <w:rPr>
          <w:rFonts w:hint="eastAsia" w:ascii="宋体" w:hAnsi="宋体" w:cs="宋体"/>
          <w:color w:val="auto"/>
          <w:szCs w:val="21"/>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lang w:val="en-US" w:eastAsia="zh-CN"/>
        </w:rPr>
        <w:t>响应</w:t>
      </w:r>
      <w:r>
        <w:rPr>
          <w:rFonts w:hint="eastAsia" w:ascii="宋体" w:hAnsi="宋体" w:cs="宋体"/>
          <w:color w:val="auto"/>
          <w:szCs w:val="21"/>
        </w:rPr>
        <w:t>文件递交</w:t>
      </w:r>
      <w:r>
        <w:rPr>
          <w:rFonts w:hint="eastAsia" w:ascii="宋体" w:hAnsi="宋体" w:cs="宋体"/>
          <w:color w:val="auto"/>
          <w:szCs w:val="21"/>
          <w:lang w:val="en-US" w:eastAsia="zh-CN"/>
        </w:rPr>
        <w:t>截止</w:t>
      </w:r>
      <w:r>
        <w:rPr>
          <w:rFonts w:hint="eastAsia" w:ascii="宋体" w:hAnsi="宋体" w:cs="宋体"/>
          <w:color w:val="auto"/>
          <w:szCs w:val="21"/>
        </w:rPr>
        <w:t>时间。</w:t>
      </w:r>
    </w:p>
    <w:p>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lang w:val="en-US" w:eastAsia="zh-CN"/>
        </w:rPr>
        <w:t>6</w:t>
      </w:r>
      <w:r>
        <w:rPr>
          <w:rFonts w:hint="eastAsia" w:ascii="宋体" w:hAnsi="宋体" w:cs="宋体"/>
          <w:color w:val="auto"/>
          <w:szCs w:val="21"/>
        </w:rPr>
        <w:t>.3</w:t>
      </w:r>
      <w:r>
        <w:rPr>
          <w:rFonts w:hint="eastAsia" w:ascii="宋体" w:hAnsi="宋体" w:cs="宋体"/>
          <w:color w:val="auto"/>
          <w:szCs w:val="21"/>
          <w:lang w:val="en-US" w:eastAsia="zh-CN"/>
        </w:rPr>
        <w:t>竞争性比选响应文件</w:t>
      </w:r>
      <w:r>
        <w:rPr>
          <w:rFonts w:hint="eastAsia" w:ascii="宋体" w:hAnsi="宋体" w:cs="宋体"/>
          <w:color w:val="auto"/>
          <w:szCs w:val="21"/>
        </w:rPr>
        <w:t>递交地点：</w:t>
      </w:r>
      <w:bookmarkStart w:id="84" w:name="_Hlk535257540"/>
      <w:r>
        <w:rPr>
          <w:rFonts w:hint="eastAsia" w:ascii="宋体" w:hAnsi="宋体" w:cs="宋体"/>
          <w:color w:val="auto"/>
          <w:szCs w:val="21"/>
          <w:highlight w:val="none"/>
          <w:lang w:eastAsia="zh-CN"/>
        </w:rPr>
        <w:t>重庆市南岸区海棠溪街道海峡路重庆首讯科技股份有限公司</w:t>
      </w:r>
      <w:r>
        <w:rPr>
          <w:rFonts w:hint="eastAsia" w:ascii="宋体" w:hAnsi="宋体" w:cs="宋体"/>
          <w:color w:val="auto"/>
          <w:szCs w:val="21"/>
          <w:highlight w:val="none"/>
          <w:lang w:val="en-US" w:eastAsia="zh-CN"/>
        </w:rPr>
        <w:t>数智系统运维分公司</w:t>
      </w:r>
      <w:r>
        <w:rPr>
          <w:rFonts w:hint="eastAsia" w:ascii="宋体" w:hAnsi="宋体" w:cs="宋体"/>
          <w:color w:val="auto"/>
          <w:szCs w:val="21"/>
          <w:highlight w:val="none"/>
          <w:lang w:eastAsia="zh-CN"/>
        </w:rPr>
        <w:t>三楼</w:t>
      </w:r>
      <w:r>
        <w:rPr>
          <w:rFonts w:hint="eastAsia" w:ascii="宋体" w:hAnsi="宋体" w:cs="宋体"/>
          <w:color w:val="auto"/>
          <w:szCs w:val="21"/>
          <w:highlight w:val="none"/>
        </w:rPr>
        <w:t>（</w:t>
      </w:r>
      <w:r>
        <w:rPr>
          <w:rFonts w:hint="eastAsia" w:ascii="宋体" w:hAnsi="宋体" w:cs="宋体"/>
          <w:color w:val="auto"/>
          <w:szCs w:val="21"/>
          <w:highlight w:val="none"/>
          <w:lang w:eastAsia="zh-CN"/>
        </w:rPr>
        <w:t>重庆首讯科技股份有限公司数智系统运维分公司</w:t>
      </w:r>
      <w:r>
        <w:rPr>
          <w:rFonts w:hint="eastAsia" w:ascii="宋体" w:hAnsi="宋体" w:cs="宋体"/>
          <w:color w:val="auto"/>
          <w:szCs w:val="21"/>
          <w:highlight w:val="none"/>
        </w:rPr>
        <w:t>）</w:t>
      </w:r>
      <w:r>
        <w:rPr>
          <w:rFonts w:hint="eastAsia" w:ascii="宋体" w:hAnsi="宋体" w:cs="宋体"/>
          <w:color w:val="auto"/>
          <w:szCs w:val="21"/>
        </w:rPr>
        <w:t>。</w:t>
      </w:r>
      <w:bookmarkEnd w:id="84"/>
    </w:p>
    <w:p>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采购人不组织现场踏勘，不召开报价预备会。</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lang w:val="en-US" w:eastAsia="zh-CN"/>
        </w:rPr>
        <w:t>响应</w:t>
      </w:r>
      <w:r>
        <w:rPr>
          <w:rFonts w:hint="eastAsia" w:ascii="宋体" w:hAnsi="宋体" w:cs="宋体"/>
          <w:color w:val="auto"/>
          <w:szCs w:val="21"/>
        </w:rPr>
        <w:t>文件递交</w:t>
      </w:r>
      <w:r>
        <w:rPr>
          <w:rFonts w:hint="eastAsia" w:ascii="宋体" w:hAnsi="宋体" w:cs="宋体"/>
          <w:color w:val="auto"/>
          <w:szCs w:val="21"/>
          <w:lang w:val="en-US" w:eastAsia="zh-CN"/>
        </w:rPr>
        <w:t>截止</w:t>
      </w:r>
      <w:r>
        <w:rPr>
          <w:rFonts w:hint="eastAsia" w:ascii="宋体" w:hAnsi="宋体" w:cs="宋体"/>
          <w:color w:val="auto"/>
          <w:szCs w:val="21"/>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竞争性比选</w:t>
      </w:r>
      <w:r>
        <w:rPr>
          <w:rFonts w:hint="eastAsia" w:ascii="宋体" w:hAnsi="宋体" w:cs="宋体"/>
          <w:color w:val="auto"/>
          <w:szCs w:val="21"/>
          <w:lang w:val="en-US" w:eastAsia="zh-CN"/>
        </w:rPr>
        <w:t>响应</w:t>
      </w:r>
      <w:r>
        <w:rPr>
          <w:rFonts w:hint="eastAsia" w:ascii="宋体" w:hAnsi="宋体" w:cs="宋体"/>
          <w:color w:val="auto"/>
          <w:szCs w:val="21"/>
        </w:rPr>
        <w:t>文件递交</w:t>
      </w:r>
      <w:r>
        <w:rPr>
          <w:rFonts w:hint="eastAsia" w:ascii="宋体" w:hAnsi="宋体" w:cs="宋体"/>
          <w:color w:val="auto"/>
          <w:szCs w:val="21"/>
          <w:lang w:val="en-US" w:eastAsia="zh-CN"/>
        </w:rPr>
        <w:t>截止</w:t>
      </w:r>
      <w:r>
        <w:rPr>
          <w:rFonts w:hint="eastAsia" w:ascii="宋体" w:hAnsi="宋体" w:cs="宋体"/>
          <w:color w:val="auto"/>
          <w:szCs w:val="21"/>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正规快递公司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w:t>
      </w:r>
      <w:r>
        <w:rPr>
          <w:rFonts w:hint="eastAsia" w:ascii="宋体" w:hAnsi="宋体" w:cs="宋体"/>
          <w:color w:val="auto"/>
          <w:szCs w:val="21"/>
          <w:highlight w:val="none"/>
          <w:lang w:eastAsia="zh-CN"/>
        </w:rPr>
        <w:t>重庆首讯科技股份有限公司数智系统运维分公司</w:t>
      </w:r>
      <w:r>
        <w:rPr>
          <w:rFonts w:hint="eastAsia" w:ascii="宋体" w:hAnsi="宋体" w:cs="宋体"/>
          <w:color w:val="auto"/>
          <w:szCs w:val="21"/>
          <w:highlight w:val="none"/>
        </w:rPr>
        <w:t>（邮寄地址同6.3递交地点），否则采购人有权拒收，采用邮寄方式的报价人默认认可采购人的开标结果，不得由此提出任何质疑。</w:t>
      </w:r>
    </w:p>
    <w:p>
      <w:pPr>
        <w:pStyle w:val="4"/>
        <w:spacing w:before="120" w:after="0" w:line="400" w:lineRule="exact"/>
        <w:rPr>
          <w:rFonts w:ascii="宋体" w:hAnsi="宋体" w:eastAsia="宋体" w:cs="宋体"/>
          <w:color w:val="auto"/>
          <w:highlight w:val="none"/>
        </w:rPr>
      </w:pPr>
      <w:bookmarkStart w:id="85" w:name="_Toc247085678"/>
      <w:bookmarkStart w:id="86" w:name="_Toc144974485"/>
      <w:bookmarkStart w:id="87" w:name="_Toc393"/>
      <w:bookmarkStart w:id="88" w:name="_Toc179632534"/>
      <w:bookmarkStart w:id="89" w:name="_Toc11329219"/>
      <w:bookmarkStart w:id="90" w:name="_Toc507319897"/>
      <w:bookmarkStart w:id="91" w:name="_Toc152045517"/>
      <w:bookmarkStart w:id="92" w:name="_Toc28867"/>
      <w:bookmarkStart w:id="93" w:name="_Toc18402"/>
      <w:bookmarkStart w:id="94" w:name="_Toc246996907"/>
      <w:bookmarkStart w:id="95" w:name="_Toc152042293"/>
      <w:bookmarkStart w:id="96" w:name="_Toc246996164"/>
      <w:bookmarkStart w:id="97" w:name="_Toc21615"/>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85"/>
      <w:bookmarkEnd w:id="86"/>
      <w:bookmarkEnd w:id="87"/>
      <w:bookmarkEnd w:id="88"/>
      <w:bookmarkEnd w:id="89"/>
      <w:bookmarkEnd w:id="90"/>
      <w:bookmarkEnd w:id="91"/>
      <w:bookmarkEnd w:id="92"/>
      <w:bookmarkEnd w:id="93"/>
      <w:bookmarkEnd w:id="94"/>
      <w:bookmarkEnd w:id="95"/>
      <w:bookmarkEnd w:id="96"/>
      <w:bookmarkEnd w:id="97"/>
    </w:p>
    <w:tbl>
      <w:tblPr>
        <w:tblStyle w:val="42"/>
        <w:tblW w:w="9709" w:type="dxa"/>
        <w:tblInd w:w="0" w:type="dxa"/>
        <w:tblLayout w:type="fixed"/>
        <w:tblCellMar>
          <w:top w:w="0" w:type="dxa"/>
          <w:left w:w="108" w:type="dxa"/>
          <w:bottom w:w="0" w:type="dxa"/>
          <w:right w:w="108" w:type="dxa"/>
        </w:tblCellMar>
      </w:tblPr>
      <w:tblGrid>
        <w:gridCol w:w="9709"/>
      </w:tblGrid>
      <w:tr>
        <w:tblPrEx>
          <w:tblCellMar>
            <w:top w:w="0" w:type="dxa"/>
            <w:left w:w="108" w:type="dxa"/>
            <w:bottom w:w="0" w:type="dxa"/>
            <w:right w:w="108" w:type="dxa"/>
          </w:tblCellMar>
        </w:tblPrEx>
        <w:trPr>
          <w:trHeight w:val="520" w:hRule="atLeast"/>
        </w:trPr>
        <w:tc>
          <w:tcPr>
            <w:tcW w:w="9709" w:type="dxa"/>
            <w:vAlign w:val="center"/>
          </w:tcPr>
          <w:p>
            <w:pPr>
              <w:pStyle w:val="102"/>
              <w:pageBreakBefore w:val="0"/>
              <w:kinsoku/>
              <w:wordWrap/>
              <w:overflowPunct/>
              <w:autoSpaceDE/>
              <w:autoSpaceDN/>
              <w:bidi w:val="0"/>
              <w:snapToGrid/>
              <w:spacing w:before="0" w:beforeAutospacing="0" w:after="0" w:afterAutospacing="0" w:line="400" w:lineRule="exact"/>
              <w:ind w:left="0" w:leftChars="0" w:firstLine="420" w:firstLineChars="200"/>
              <w:jc w:val="both"/>
              <w:textAlignment w:val="auto"/>
              <w:rPr>
                <w:rFonts w:hint="eastAsia" w:ascii="宋体" w:hAnsi="宋体" w:eastAsia="宋体" w:cs="宋体"/>
                <w:color w:val="auto"/>
                <w:kern w:val="2"/>
                <w:sz w:val="21"/>
                <w:szCs w:val="21"/>
                <w:highlight w:val="none"/>
                <w:lang w:eastAsia="zh-CN"/>
              </w:rPr>
            </w:pPr>
            <w:r>
              <w:rPr>
                <w:rFonts w:hint="eastAsia" w:ascii="宋体" w:hAnsi="宋体" w:cs="宋体"/>
                <w:color w:val="auto"/>
                <w:kern w:val="2"/>
                <w:sz w:val="21"/>
                <w:szCs w:val="21"/>
                <w:highlight w:val="none"/>
              </w:rPr>
              <w:t>采购人：</w:t>
            </w:r>
            <w:r>
              <w:rPr>
                <w:rFonts w:hint="eastAsia" w:ascii="宋体" w:hAnsi="宋体" w:cs="宋体"/>
                <w:color w:val="auto"/>
                <w:kern w:val="2"/>
                <w:sz w:val="21"/>
                <w:szCs w:val="21"/>
                <w:highlight w:val="none"/>
                <w:lang w:eastAsia="zh-CN"/>
              </w:rPr>
              <w:t>重庆首讯科技股份有限公司数智系统运维分公司</w:t>
            </w:r>
          </w:p>
        </w:tc>
      </w:tr>
      <w:tr>
        <w:tblPrEx>
          <w:tblCellMar>
            <w:top w:w="0" w:type="dxa"/>
            <w:left w:w="108" w:type="dxa"/>
            <w:bottom w:w="0" w:type="dxa"/>
            <w:right w:w="108" w:type="dxa"/>
          </w:tblCellMar>
        </w:tblPrEx>
        <w:trPr>
          <w:trHeight w:val="510" w:hRule="atLeast"/>
        </w:trPr>
        <w:tc>
          <w:tcPr>
            <w:tcW w:w="9709" w:type="dxa"/>
            <w:vAlign w:val="center"/>
          </w:tcPr>
          <w:p>
            <w:pPr>
              <w:keepNext w:val="0"/>
              <w:keepLines w:val="0"/>
              <w:pageBreakBefore w:val="0"/>
              <w:widowControl w:val="0"/>
              <w:suppressLineNumbers w:val="0"/>
              <w:kinsoku/>
              <w:wordWrap/>
              <w:overflowPunct/>
              <w:topLinePunct/>
              <w:autoSpaceDE/>
              <w:autoSpaceDN/>
              <w:bidi w:val="0"/>
              <w:snapToGrid/>
              <w:spacing w:beforeAutospacing="0" w:after="0" w:afterAutospacing="0" w:line="400" w:lineRule="exact"/>
              <w:ind w:left="0" w:leftChars="0" w:right="0" w:rightChars="0"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szCs w:val="21"/>
                <w:lang w:val="en-US" w:eastAsia="zh-CN"/>
              </w:rPr>
              <w:t>重庆市南岸区海棠溪街道海峡路重庆首讯科技股份有限公司</w:t>
            </w:r>
            <w:r>
              <w:rPr>
                <w:rFonts w:hint="eastAsia" w:ascii="宋体" w:hAnsi="宋体" w:cs="宋体"/>
                <w:color w:val="auto"/>
                <w:szCs w:val="21"/>
                <w:highlight w:val="none"/>
                <w:lang w:val="en-US" w:eastAsia="zh-CN"/>
              </w:rPr>
              <w:t>数智系统运维分公司</w:t>
            </w:r>
            <w:r>
              <w:rPr>
                <w:rFonts w:hint="eastAsia" w:ascii="宋体" w:hAnsi="宋体" w:cs="宋体"/>
                <w:szCs w:val="21"/>
                <w:lang w:val="en-US" w:eastAsia="zh-CN"/>
              </w:rPr>
              <w:t>三楼</w:t>
            </w:r>
          </w:p>
        </w:tc>
      </w:tr>
      <w:tr>
        <w:tblPrEx>
          <w:tblCellMar>
            <w:top w:w="0" w:type="dxa"/>
            <w:left w:w="108" w:type="dxa"/>
            <w:bottom w:w="0" w:type="dxa"/>
            <w:right w:w="108" w:type="dxa"/>
          </w:tblCellMar>
        </w:tblPrEx>
        <w:trPr>
          <w:trHeight w:val="520" w:hRule="atLeast"/>
        </w:trPr>
        <w:tc>
          <w:tcPr>
            <w:tcW w:w="9709" w:type="dxa"/>
            <w:vAlign w:val="center"/>
          </w:tcPr>
          <w:p>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none"/>
                <w:u w:val="single"/>
                <w:lang w:val="en-US" w:eastAsia="zh-CN"/>
              </w:rPr>
              <w:t xml:space="preserve"> 李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none"/>
                <w:lang w:val="en-US" w:eastAsia="zh-CN"/>
              </w:rPr>
              <w:t>13251281994</w:t>
            </w:r>
          </w:p>
        </w:tc>
      </w:tr>
      <w:tr>
        <w:tblPrEx>
          <w:tblCellMar>
            <w:top w:w="0" w:type="dxa"/>
            <w:left w:w="108" w:type="dxa"/>
            <w:bottom w:w="0" w:type="dxa"/>
            <w:right w:w="108" w:type="dxa"/>
          </w:tblCellMar>
        </w:tblPrEx>
        <w:trPr>
          <w:trHeight w:val="448" w:hRule="atLeast"/>
        </w:trPr>
        <w:tc>
          <w:tcPr>
            <w:tcW w:w="9709" w:type="dxa"/>
            <w:vAlign w:val="center"/>
          </w:tcPr>
          <w:p>
            <w:pPr>
              <w:pageBreakBefore w:val="0"/>
              <w:kinsoku/>
              <w:wordWrap/>
              <w:overflowPunct/>
              <w:topLinePunct/>
              <w:autoSpaceDE/>
              <w:autoSpaceDN/>
              <w:bidi w:val="0"/>
              <w:snapToGrid/>
              <w:spacing w:line="400" w:lineRule="exact"/>
              <w:ind w:left="0" w:leftChars="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u w:val="single"/>
                <w:lang w:val="en-US" w:eastAsia="zh-CN"/>
              </w:rPr>
              <w:t xml:space="preserve"> 汪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lang w:val="en-US" w:eastAsia="zh-CN"/>
              </w:rPr>
              <w:t>19112628748（南方）</w:t>
            </w:r>
          </w:p>
        </w:tc>
      </w:tr>
      <w:tr>
        <w:tblPrEx>
          <w:tblCellMar>
            <w:top w:w="0" w:type="dxa"/>
            <w:left w:w="108" w:type="dxa"/>
            <w:bottom w:w="0" w:type="dxa"/>
            <w:right w:w="108" w:type="dxa"/>
          </w:tblCellMar>
        </w:tblPrEx>
        <w:trPr>
          <w:trHeight w:val="448" w:hRule="atLeast"/>
        </w:trPr>
        <w:tc>
          <w:tcPr>
            <w:tcW w:w="9709" w:type="dxa"/>
            <w:vAlign w:val="center"/>
          </w:tcPr>
          <w:p>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u w:val="single"/>
                <w:lang w:val="en-US" w:eastAsia="zh-CN"/>
              </w:rPr>
              <w:t xml:space="preserve"> 杨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lang w:val="en-US" w:eastAsia="zh-CN"/>
              </w:rPr>
              <w:t>13330397595（东南）</w:t>
            </w:r>
          </w:p>
        </w:tc>
      </w:tr>
    </w:tbl>
    <w:p>
      <w:pPr>
        <w:rPr>
          <w:color w:val="auto"/>
          <w:highlight w:val="none"/>
        </w:rPr>
      </w:pPr>
    </w:p>
    <w:p>
      <w:pPr>
        <w:pStyle w:val="28"/>
        <w:rPr>
          <w:color w:val="auto"/>
          <w:highlight w:val="none"/>
        </w:rPr>
      </w:pPr>
    </w:p>
    <w:p>
      <w:pPr>
        <w:rPr>
          <w:color w:val="auto"/>
          <w:highlight w:val="none"/>
        </w:rPr>
      </w:pPr>
    </w:p>
    <w:p>
      <w:pPr>
        <w:pStyle w:val="3"/>
        <w:spacing w:before="0" w:after="0" w:line="360" w:lineRule="auto"/>
        <w:jc w:val="center"/>
        <w:rPr>
          <w:rFonts w:ascii="宋体" w:hAnsi="宋体" w:cs="宋体"/>
          <w:color w:val="auto"/>
          <w:highlight w:val="none"/>
        </w:rPr>
      </w:pPr>
      <w:bookmarkStart w:id="98" w:name="_Toc152045527"/>
      <w:bookmarkStart w:id="99" w:name="_Toc246996916"/>
      <w:bookmarkStart w:id="100" w:name="_Toc152042303"/>
      <w:bookmarkStart w:id="101" w:name="_Toc507319898"/>
      <w:bookmarkStart w:id="102" w:name="_Toc179632544"/>
      <w:bookmarkStart w:id="103" w:name="_Toc247085687"/>
      <w:bookmarkStart w:id="104" w:name="_Toc144974495"/>
      <w:bookmarkStart w:id="105" w:name="_Toc246996173"/>
      <w:bookmarkStart w:id="106" w:name="_Toc2000405"/>
      <w:r>
        <w:rPr>
          <w:rFonts w:hint="eastAsia" w:ascii="宋体" w:hAnsi="宋体" w:cs="宋体"/>
          <w:color w:val="auto"/>
          <w:highlight w:val="none"/>
        </w:rPr>
        <w:br w:type="page"/>
      </w:r>
      <w:bookmarkStart w:id="107" w:name="_Toc10659"/>
      <w:r>
        <w:rPr>
          <w:rFonts w:hint="eastAsia" w:ascii="宋体" w:hAnsi="宋体" w:cs="宋体"/>
          <w:color w:val="auto"/>
          <w:highlight w:val="none"/>
        </w:rPr>
        <w:t>第二章 报价人须知</w:t>
      </w:r>
      <w:bookmarkEnd w:id="98"/>
      <w:bookmarkEnd w:id="99"/>
      <w:bookmarkEnd w:id="100"/>
      <w:bookmarkEnd w:id="101"/>
      <w:bookmarkEnd w:id="102"/>
      <w:bookmarkEnd w:id="103"/>
      <w:bookmarkEnd w:id="104"/>
      <w:bookmarkEnd w:id="105"/>
      <w:bookmarkEnd w:id="106"/>
      <w:bookmarkEnd w:id="107"/>
    </w:p>
    <w:tbl>
      <w:tblPr>
        <w:tblStyle w:val="42"/>
        <w:tblpPr w:leftFromText="180" w:rightFromText="180" w:vertAnchor="text" w:horzAnchor="page" w:tblpX="1102" w:tblpY="302"/>
        <w:tblOverlap w:val="never"/>
        <w:tblW w:w="9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697"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bookmarkStart w:id="108" w:name="_Toc326760840"/>
            <w:r>
              <w:rPr>
                <w:rFonts w:hint="eastAsia" w:ascii="宋体" w:hAnsi="宋体" w:cs="宋体"/>
                <w:b/>
                <w:color w:val="auto"/>
                <w:kern w:val="0"/>
                <w:szCs w:val="21"/>
                <w:highlight w:val="none"/>
              </w:rPr>
              <w:t>序号</w:t>
            </w:r>
          </w:p>
        </w:tc>
        <w:tc>
          <w:tcPr>
            <w:tcW w:w="2106"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104" w:type="dxa"/>
            <w:vAlign w:val="center"/>
          </w:tcPr>
          <w:p>
            <w:pPr>
              <w:keepNext w:val="0"/>
              <w:keepLines w:val="0"/>
              <w:pageBreakBefore w:val="0"/>
              <w:widowControl w:val="0"/>
              <w:kinsoku/>
              <w:wordWrap/>
              <w:overflowPunct/>
              <w:bidi w:val="0"/>
              <w:spacing w:line="400" w:lineRule="exact"/>
              <w:ind w:firstLine="422" w:firstLineChars="200"/>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106"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采购人</w:t>
            </w:r>
          </w:p>
        </w:tc>
        <w:tc>
          <w:tcPr>
            <w:tcW w:w="7104" w:type="dxa"/>
            <w:vAlign w:val="center"/>
          </w:tcPr>
          <w:p>
            <w:pPr>
              <w:spacing w:line="400" w:lineRule="exact"/>
              <w:ind w:firstLine="420" w:firstLineChars="200"/>
              <w:rPr>
                <w:rFonts w:hint="eastAsia" w:ascii="宋体" w:hAnsi="宋体" w:eastAsia="宋体" w:cs="宋体"/>
                <w:szCs w:val="21"/>
                <w:lang w:val="en-US" w:eastAsia="zh-CN"/>
              </w:rPr>
            </w:pPr>
            <w:r>
              <w:rPr>
                <w:rFonts w:hint="eastAsia" w:ascii="宋体" w:hAnsi="宋体" w:cs="宋体"/>
                <w:szCs w:val="21"/>
              </w:rPr>
              <w:t>采购人：</w:t>
            </w:r>
            <w:r>
              <w:rPr>
                <w:rFonts w:hint="eastAsia" w:ascii="宋体" w:hAnsi="宋体" w:cs="宋体"/>
                <w:szCs w:val="21"/>
                <w:lang w:eastAsia="zh-CN"/>
              </w:rPr>
              <w:t>重庆首讯科技股份有限公司数智系统运维分公司</w:t>
            </w:r>
          </w:p>
          <w:p>
            <w:pPr>
              <w:spacing w:line="400" w:lineRule="exact"/>
              <w:ind w:firstLine="420" w:firstLineChars="200"/>
              <w:rPr>
                <w:rFonts w:hint="eastAsia" w:ascii="宋体" w:hAnsi="宋体" w:cs="宋体"/>
                <w:szCs w:val="21"/>
                <w:lang w:val="en-US" w:eastAsia="zh-CN"/>
              </w:rPr>
            </w:pPr>
            <w:r>
              <w:rPr>
                <w:rFonts w:hint="eastAsia" w:ascii="宋体" w:hAnsi="宋体" w:cs="宋体"/>
                <w:szCs w:val="21"/>
              </w:rPr>
              <w:t>地  址：重庆市</w:t>
            </w:r>
            <w:r>
              <w:rPr>
                <w:rFonts w:hint="eastAsia" w:ascii="宋体" w:hAnsi="宋体" w:cs="宋体"/>
                <w:szCs w:val="21"/>
                <w:lang w:val="en-US" w:eastAsia="zh-CN"/>
              </w:rPr>
              <w:t>南岸</w:t>
            </w:r>
            <w:r>
              <w:rPr>
                <w:rFonts w:hint="eastAsia" w:ascii="宋体" w:hAnsi="宋体" w:cs="宋体"/>
                <w:szCs w:val="21"/>
              </w:rPr>
              <w:t>区</w:t>
            </w:r>
            <w:r>
              <w:rPr>
                <w:rFonts w:hint="eastAsia" w:ascii="宋体" w:hAnsi="宋体" w:cs="宋体"/>
                <w:szCs w:val="21"/>
                <w:lang w:val="en-US" w:eastAsia="zh-CN"/>
              </w:rPr>
              <w:t>海棠溪</w:t>
            </w:r>
            <w:r>
              <w:rPr>
                <w:rFonts w:hint="eastAsia" w:ascii="宋体" w:hAnsi="宋体" w:cs="宋体"/>
                <w:szCs w:val="21"/>
              </w:rPr>
              <w:t>街道</w:t>
            </w:r>
            <w:r>
              <w:rPr>
                <w:rFonts w:hint="eastAsia" w:ascii="宋体" w:hAnsi="宋体" w:cs="宋体"/>
                <w:szCs w:val="21"/>
                <w:lang w:val="en-US" w:eastAsia="zh-CN"/>
              </w:rPr>
              <w:t>海峡</w:t>
            </w:r>
            <w:r>
              <w:rPr>
                <w:rFonts w:hint="eastAsia" w:ascii="宋体" w:hAnsi="宋体" w:cs="宋体"/>
                <w:szCs w:val="21"/>
              </w:rPr>
              <w:t>路</w:t>
            </w:r>
            <w:r>
              <w:rPr>
                <w:rFonts w:hint="eastAsia" w:ascii="宋体" w:hAnsi="宋体" w:cs="宋体"/>
                <w:szCs w:val="21"/>
                <w:lang w:val="en-US" w:eastAsia="zh-CN"/>
              </w:rPr>
              <w:t>重庆首讯科技股份有限公司</w:t>
            </w:r>
            <w:r>
              <w:rPr>
                <w:rFonts w:hint="eastAsia" w:ascii="宋体" w:hAnsi="宋体" w:cs="宋体"/>
                <w:szCs w:val="21"/>
              </w:rPr>
              <w:t>三楼</w:t>
            </w:r>
          </w:p>
          <w:p>
            <w:pPr>
              <w:spacing w:line="400" w:lineRule="exact"/>
              <w:ind w:firstLine="420" w:firstLineChars="200"/>
              <w:rPr>
                <w:rFonts w:ascii="宋体" w:hAnsi="宋体" w:cs="宋体"/>
                <w:szCs w:val="21"/>
              </w:rPr>
            </w:pPr>
            <w:r>
              <w:rPr>
                <w:rFonts w:hint="eastAsia" w:ascii="宋体" w:hAnsi="宋体" w:cs="宋体"/>
                <w:szCs w:val="21"/>
              </w:rPr>
              <w:t>联系人：</w:t>
            </w:r>
            <w:r>
              <w:rPr>
                <w:rFonts w:hint="eastAsia" w:ascii="宋体" w:hAnsi="宋体" w:cs="宋体"/>
                <w:szCs w:val="21"/>
                <w:lang w:val="en-US" w:eastAsia="zh-CN"/>
              </w:rPr>
              <w:t>李</w:t>
            </w:r>
            <w:r>
              <w:rPr>
                <w:rFonts w:hint="eastAsia" w:ascii="宋体" w:hAnsi="宋体" w:cs="宋体"/>
                <w:szCs w:val="21"/>
              </w:rPr>
              <w:t>老师</w:t>
            </w:r>
          </w:p>
          <w:p>
            <w:pPr>
              <w:keepNext w:val="0"/>
              <w:keepLines w:val="0"/>
              <w:pageBreakBefore w:val="0"/>
              <w:kinsoku/>
              <w:wordWrap/>
              <w:overflowPunct/>
              <w:topLine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cs="宋体"/>
                <w:szCs w:val="21"/>
              </w:rPr>
              <w:t>电  话：</w:t>
            </w:r>
            <w:r>
              <w:rPr>
                <w:rFonts w:hint="eastAsia" w:ascii="宋体" w:hAnsi="宋体" w:cs="宋体"/>
                <w:szCs w:val="21"/>
                <w:lang w:val="en-US" w:eastAsia="zh-CN"/>
              </w:rPr>
              <w:t>13251281994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106"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项目名称</w:t>
            </w:r>
          </w:p>
        </w:tc>
        <w:tc>
          <w:tcPr>
            <w:tcW w:w="7104" w:type="dxa"/>
            <w:vAlign w:val="center"/>
          </w:tcPr>
          <w:p>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u w:val="single"/>
                <w:lang w:val="en-US" w:eastAsia="zh-CN"/>
              </w:rPr>
              <w:t xml:space="preserve">  </w:t>
            </w:r>
            <w:r>
              <w:rPr>
                <w:rFonts w:hint="eastAsia" w:ascii="宋体" w:hAnsi="宋体" w:cs="宋体"/>
                <w:i w:val="0"/>
                <w:iCs w:val="0"/>
                <w:color w:val="auto"/>
                <w:szCs w:val="21"/>
                <w:highlight w:val="none"/>
                <w:u w:val="single"/>
                <w:lang w:val="en-US" w:eastAsia="zh-CN"/>
              </w:rPr>
              <w:t>东南、南方数智运维中心维护车辆定点保养及维修服务</w:t>
            </w:r>
            <w:r>
              <w:rPr>
                <w:rFonts w:hint="eastAsia" w:ascii="宋体" w:hAnsi="宋体" w:cs="宋体"/>
                <w:color w:val="auto"/>
                <w:szCs w:val="21"/>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106"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lang w:val="en-US" w:eastAsia="zh-CN"/>
              </w:rPr>
              <w:t>服务地点</w:t>
            </w:r>
          </w:p>
        </w:tc>
        <w:tc>
          <w:tcPr>
            <w:tcW w:w="7104" w:type="dxa"/>
            <w:vAlign w:val="center"/>
          </w:tcPr>
          <w:p>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106"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rPr>
              <w:t>项目规模</w:t>
            </w:r>
          </w:p>
        </w:tc>
        <w:tc>
          <w:tcPr>
            <w:tcW w:w="7104" w:type="dxa"/>
            <w:vAlign w:val="center"/>
          </w:tcPr>
          <w:p>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106"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lang w:val="en-US" w:eastAsia="zh-CN"/>
              </w:rPr>
              <w:t>比选范围</w:t>
            </w:r>
          </w:p>
        </w:tc>
        <w:tc>
          <w:tcPr>
            <w:tcW w:w="7104" w:type="dxa"/>
            <w:vAlign w:val="center"/>
          </w:tcPr>
          <w:p>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106"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rPr>
              <w:t>服务期限</w:t>
            </w:r>
          </w:p>
        </w:tc>
        <w:tc>
          <w:tcPr>
            <w:tcW w:w="7104" w:type="dxa"/>
            <w:vAlign w:val="center"/>
          </w:tcPr>
          <w:p>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7</w:t>
            </w:r>
          </w:p>
        </w:tc>
        <w:tc>
          <w:tcPr>
            <w:tcW w:w="2106" w:type="dxa"/>
            <w:vAlign w:val="center"/>
          </w:tcPr>
          <w:p>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服务要求</w:t>
            </w:r>
          </w:p>
        </w:tc>
        <w:tc>
          <w:tcPr>
            <w:tcW w:w="7104" w:type="dxa"/>
            <w:vAlign w:val="center"/>
          </w:tcPr>
          <w:p>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详见</w:t>
            </w:r>
            <w:r>
              <w:rPr>
                <w:rFonts w:hint="eastAsia" w:ascii="宋体" w:hAnsi="宋体" w:cs="宋体"/>
                <w:color w:val="auto"/>
                <w:szCs w:val="21"/>
                <w:highlight w:val="none"/>
                <w:lang w:val="en-US" w:eastAsia="zh-CN"/>
              </w:rPr>
              <w:t xml:space="preserve">竞争性比选文件 </w:t>
            </w:r>
            <w:r>
              <w:rPr>
                <w:rFonts w:hint="eastAsia" w:ascii="宋体" w:hAnsi="宋体" w:cs="宋体"/>
                <w:color w:val="auto"/>
                <w:szCs w:val="21"/>
                <w:highlight w:val="none"/>
              </w:rPr>
              <w:t>第</w:t>
            </w:r>
            <w:r>
              <w:rPr>
                <w:rFonts w:hint="eastAsia" w:ascii="宋体" w:hAnsi="宋体" w:cs="宋体"/>
                <w:color w:val="auto"/>
                <w:szCs w:val="21"/>
                <w:highlight w:val="none"/>
                <w:lang w:val="en-US" w:eastAsia="zh-CN"/>
              </w:rPr>
              <w:t>四</w:t>
            </w:r>
            <w:r>
              <w:rPr>
                <w:rFonts w:hint="eastAsia" w:ascii="宋体" w:hAnsi="宋体" w:cs="宋体"/>
                <w:color w:val="auto"/>
                <w:szCs w:val="21"/>
                <w:highlight w:val="none"/>
              </w:rPr>
              <w:t>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106"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szCs w:val="21"/>
                <w:highlight w:val="none"/>
              </w:rPr>
              <w:t>报价人资格要求</w:t>
            </w:r>
          </w:p>
        </w:tc>
        <w:tc>
          <w:tcPr>
            <w:tcW w:w="7104" w:type="dxa"/>
            <w:vAlign w:val="center"/>
          </w:tcPr>
          <w:p>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见比选公告及附录1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106"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是否接受</w:t>
            </w:r>
          </w:p>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联合体报价</w:t>
            </w:r>
          </w:p>
        </w:tc>
        <w:tc>
          <w:tcPr>
            <w:tcW w:w="7104" w:type="dxa"/>
            <w:vAlign w:val="center"/>
          </w:tcPr>
          <w:p>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106"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踏勘现场</w:t>
            </w:r>
          </w:p>
        </w:tc>
        <w:tc>
          <w:tcPr>
            <w:tcW w:w="7104" w:type="dxa"/>
            <w:vAlign w:val="center"/>
          </w:tcPr>
          <w:p>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106"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分包</w:t>
            </w:r>
          </w:p>
        </w:tc>
        <w:tc>
          <w:tcPr>
            <w:tcW w:w="7104" w:type="dxa"/>
            <w:vAlign w:val="center"/>
          </w:tcPr>
          <w:p>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3</w:t>
            </w:r>
          </w:p>
        </w:tc>
        <w:tc>
          <w:tcPr>
            <w:tcW w:w="2106"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偏差</w:t>
            </w:r>
          </w:p>
        </w:tc>
        <w:tc>
          <w:tcPr>
            <w:tcW w:w="7104" w:type="dxa"/>
            <w:vAlign w:val="center"/>
          </w:tcPr>
          <w:p>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b w:val="0"/>
                <w:bCs/>
                <w:color w:val="auto"/>
                <w:sz w:val="21"/>
                <w:szCs w:val="21"/>
                <w:highlight w:val="none"/>
                <w:lang w:eastAsia="zh-CN" w:bidi="ar"/>
              </w:rPr>
              <w:t>本项目</w:t>
            </w:r>
            <w:r>
              <w:rPr>
                <w:rFonts w:hint="eastAsia" w:ascii="宋体" w:hAnsi="宋体" w:eastAsia="宋体" w:cs="宋体"/>
                <w:b w:val="0"/>
                <w:bCs/>
                <w:color w:val="auto"/>
                <w:sz w:val="21"/>
                <w:szCs w:val="21"/>
                <w:highlight w:val="none"/>
                <w:lang w:bidi="ar"/>
              </w:rPr>
              <w:t>不允许任何负偏离。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4</w:t>
            </w:r>
          </w:p>
        </w:tc>
        <w:tc>
          <w:tcPr>
            <w:tcW w:w="2106"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bCs/>
                <w:color w:val="auto"/>
                <w:szCs w:val="21"/>
                <w:highlight w:val="none"/>
              </w:rPr>
              <w:t>构成比选文件的其他材料</w:t>
            </w:r>
          </w:p>
        </w:tc>
        <w:tc>
          <w:tcPr>
            <w:tcW w:w="7104" w:type="dxa"/>
            <w:vAlign w:val="center"/>
          </w:tcPr>
          <w:p>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5</w:t>
            </w:r>
          </w:p>
        </w:tc>
        <w:tc>
          <w:tcPr>
            <w:tcW w:w="2106"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构成竞争性比选响应文件的其他材料</w:t>
            </w:r>
          </w:p>
        </w:tc>
        <w:tc>
          <w:tcPr>
            <w:tcW w:w="7104" w:type="dxa"/>
            <w:vAlign w:val="center"/>
          </w:tcPr>
          <w:p>
            <w:pPr>
              <w:pStyle w:val="149"/>
              <w:keepNext w:val="0"/>
              <w:keepLines w:val="0"/>
              <w:pageBreakBefore w:val="0"/>
              <w:widowControl w:val="0"/>
              <w:kinsoku/>
              <w:wordWrap/>
              <w:overflowPunct/>
              <w:bidi w:val="0"/>
              <w:spacing w:line="400" w:lineRule="exact"/>
              <w:ind w:firstLine="420" w:firstLineChars="200"/>
              <w:jc w:val="both"/>
              <w:textAlignment w:val="auto"/>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6</w:t>
            </w:r>
          </w:p>
        </w:tc>
        <w:tc>
          <w:tcPr>
            <w:tcW w:w="2106" w:type="dxa"/>
            <w:tcBorders>
              <w:bottom w:val="single" w:color="auto" w:sz="4" w:space="0"/>
            </w:tcBorders>
            <w:vAlign w:val="center"/>
          </w:tcPr>
          <w:p>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报价原则</w:t>
            </w:r>
          </w:p>
        </w:tc>
        <w:tc>
          <w:tcPr>
            <w:tcW w:w="7104" w:type="dxa"/>
            <w:tcBorders>
              <w:bottom w:val="single" w:color="auto" w:sz="4" w:space="0"/>
            </w:tcBorders>
          </w:tcPr>
          <w:p>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1.投标报价：</w:t>
            </w:r>
          </w:p>
          <w:p>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rPr>
            </w:pPr>
            <w:r>
              <w:rPr>
                <w:rFonts w:hint="eastAsia" w:ascii="宋体" w:hAnsi="宋体" w:cs="宋体"/>
                <w:color w:val="auto"/>
                <w:szCs w:val="21"/>
                <w:u w:val="single"/>
              </w:rPr>
              <w:t>本项目采用</w:t>
            </w:r>
            <w:r>
              <w:rPr>
                <w:rFonts w:hint="eastAsia" w:ascii="宋体" w:hAnsi="宋体" w:cs="宋体"/>
                <w:color w:val="auto"/>
                <w:szCs w:val="21"/>
                <w:highlight w:val="none"/>
                <w:u w:val="single"/>
                <w:lang w:val="en-US" w:eastAsia="zh-CN"/>
              </w:rPr>
              <w:t>单价</w:t>
            </w:r>
            <w:r>
              <w:rPr>
                <w:rFonts w:hint="eastAsia" w:ascii="宋体" w:hAnsi="宋体" w:cs="宋体"/>
                <w:color w:val="auto"/>
                <w:szCs w:val="21"/>
                <w:highlight w:val="none"/>
                <w:u w:val="single"/>
              </w:rPr>
              <w:t>包干报价，</w:t>
            </w:r>
            <w:r>
              <w:rPr>
                <w:rFonts w:hint="eastAsia" w:ascii="宋体" w:hAnsi="宋体" w:cs="宋体"/>
                <w:color w:val="auto"/>
                <w:szCs w:val="21"/>
                <w:highlight w:val="none"/>
                <w:u w:val="single"/>
                <w:lang w:val="en-US" w:eastAsia="zh-CN"/>
              </w:rPr>
              <w:t>报</w:t>
            </w:r>
            <w:r>
              <w:rPr>
                <w:rFonts w:hint="eastAsia" w:ascii="宋体" w:hAnsi="宋体" w:cs="宋体"/>
                <w:color w:val="auto"/>
                <w:szCs w:val="21"/>
                <w:u w:val="single"/>
                <w:lang w:val="en-US" w:eastAsia="zh-CN"/>
              </w:rPr>
              <w:t>价</w:t>
            </w:r>
            <w:r>
              <w:rPr>
                <w:rFonts w:hint="eastAsia" w:ascii="宋体" w:hAnsi="宋体" w:cs="宋体"/>
                <w:color w:val="auto"/>
                <w:szCs w:val="21"/>
                <w:u w:val="single"/>
              </w:rPr>
              <w:t>人所报投标报价应包含但不限于完成本项目</w:t>
            </w:r>
            <w:r>
              <w:rPr>
                <w:rFonts w:hint="eastAsia" w:ascii="宋体" w:hAnsi="宋体" w:cs="宋体"/>
                <w:color w:val="auto"/>
                <w:szCs w:val="21"/>
                <w:u w:val="single"/>
                <w:lang w:val="en-US" w:eastAsia="zh-CN"/>
              </w:rPr>
              <w:t>比选</w:t>
            </w:r>
            <w:r>
              <w:rPr>
                <w:rFonts w:hint="eastAsia" w:ascii="宋体" w:hAnsi="宋体" w:cs="宋体"/>
                <w:color w:val="auto"/>
                <w:szCs w:val="21"/>
                <w:u w:val="single"/>
              </w:rPr>
              <w:t>内容全部工作内容所需的人工、材料</w:t>
            </w:r>
            <w:r>
              <w:rPr>
                <w:rFonts w:hint="eastAsia" w:ascii="宋体" w:hAnsi="宋体" w:cs="宋体"/>
                <w:color w:val="auto"/>
                <w:szCs w:val="21"/>
                <w:u w:val="single"/>
                <w:lang w:eastAsia="zh-CN"/>
              </w:rPr>
              <w:t>、</w:t>
            </w:r>
            <w:r>
              <w:rPr>
                <w:rFonts w:hint="eastAsia" w:ascii="宋体" w:hAnsi="宋体" w:cs="宋体"/>
                <w:color w:val="auto"/>
                <w:szCs w:val="21"/>
                <w:u w:val="single"/>
                <w:lang w:val="en-US" w:eastAsia="zh-CN"/>
              </w:rPr>
              <w:t>服务</w:t>
            </w:r>
            <w:r>
              <w:rPr>
                <w:rFonts w:hint="eastAsia" w:ascii="宋体" w:hAnsi="宋体" w:cs="宋体"/>
                <w:color w:val="auto"/>
                <w:szCs w:val="21"/>
                <w:u w:val="single"/>
              </w:rPr>
              <w:t>、税金、管理费、利润等所有</w:t>
            </w:r>
            <w:r>
              <w:rPr>
                <w:rFonts w:hint="eastAsia" w:ascii="宋体" w:hAnsi="宋体" w:cs="宋体"/>
                <w:color w:val="auto"/>
                <w:szCs w:val="21"/>
                <w:u w:val="single"/>
                <w:lang w:val="en-US" w:eastAsia="zh-CN"/>
              </w:rPr>
              <w:t>一切</w:t>
            </w:r>
            <w:r>
              <w:rPr>
                <w:rFonts w:hint="eastAsia" w:ascii="宋体" w:hAnsi="宋体" w:cs="宋体"/>
                <w:color w:val="auto"/>
                <w:szCs w:val="21"/>
                <w:u w:val="single"/>
              </w:rPr>
              <w:t>费用，一旦中标，</w:t>
            </w:r>
            <w:r>
              <w:rPr>
                <w:rFonts w:hint="eastAsia" w:ascii="宋体" w:hAnsi="宋体" w:cs="宋体"/>
                <w:color w:val="auto"/>
                <w:szCs w:val="21"/>
                <w:u w:val="single"/>
                <w:lang w:val="en-US" w:eastAsia="zh-CN"/>
              </w:rPr>
              <w:t>采购</w:t>
            </w:r>
            <w:r>
              <w:rPr>
                <w:rFonts w:hint="eastAsia" w:ascii="宋体" w:hAnsi="宋体" w:cs="宋体"/>
                <w:color w:val="auto"/>
                <w:szCs w:val="21"/>
                <w:u w:val="single"/>
              </w:rPr>
              <w:t>人不再额外支付任何费用</w:t>
            </w:r>
            <w:r>
              <w:rPr>
                <w:rFonts w:hint="eastAsia" w:ascii="宋体" w:hAnsi="宋体" w:cs="宋体"/>
                <w:color w:val="auto"/>
                <w:szCs w:val="21"/>
              </w:rPr>
              <w:t>。</w:t>
            </w:r>
          </w:p>
          <w:p>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rPr>
            </w:pPr>
            <w:r>
              <w:rPr>
                <w:rFonts w:hint="eastAsia" w:ascii="宋体" w:hAnsi="宋体" w:cs="宋体"/>
                <w:color w:val="auto"/>
              </w:rPr>
              <w:t>2.报价原则</w:t>
            </w:r>
          </w:p>
          <w:p>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u w:val="single"/>
              </w:rPr>
            </w:pPr>
            <w:r>
              <w:rPr>
                <w:rFonts w:hint="eastAsia" w:ascii="宋体" w:hAnsi="宋体" w:cs="宋体"/>
                <w:color w:val="auto"/>
                <w:u w:val="single"/>
                <w:lang w:eastAsia="zh-CN"/>
              </w:rPr>
              <w:t>报价人</w:t>
            </w:r>
            <w:r>
              <w:rPr>
                <w:rFonts w:hint="eastAsia" w:ascii="宋体" w:hAnsi="宋体" w:cs="宋体"/>
                <w:color w:val="auto"/>
                <w:u w:val="single"/>
              </w:rPr>
              <w:t>应严格根据</w:t>
            </w:r>
            <w:r>
              <w:rPr>
                <w:rFonts w:hint="eastAsia" w:ascii="宋体" w:hAnsi="宋体" w:cs="宋体"/>
                <w:color w:val="auto"/>
                <w:u w:val="single"/>
                <w:lang w:val="en-US" w:eastAsia="zh-CN"/>
              </w:rPr>
              <w:t>竞争性比选文件</w:t>
            </w:r>
            <w:r>
              <w:rPr>
                <w:rFonts w:hint="eastAsia" w:ascii="宋体" w:hAnsi="宋体" w:cs="宋体"/>
                <w:color w:val="auto"/>
                <w:u w:val="single"/>
              </w:rPr>
              <w:t>及相关资料，结合市场价格、依据企业自身实力、技术及生产管理水平等，进行自主报价；</w:t>
            </w:r>
            <w:r>
              <w:rPr>
                <w:rFonts w:hint="eastAsia" w:ascii="宋体" w:hAnsi="宋体" w:cs="宋体"/>
                <w:color w:val="auto"/>
                <w:u w:val="single"/>
                <w:lang w:eastAsia="zh-CN"/>
              </w:rPr>
              <w:t>报价人</w:t>
            </w:r>
            <w:r>
              <w:rPr>
                <w:rFonts w:hint="eastAsia" w:ascii="宋体" w:hAnsi="宋体" w:cs="宋体"/>
                <w:color w:val="auto"/>
                <w:u w:val="single"/>
              </w:rPr>
              <w:t>投标总报价只能有一个有效报价，不得提交选择性报价，否则竞争性比选响应文件将按否决报价处理。</w:t>
            </w:r>
          </w:p>
          <w:p>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highlight w:val="none"/>
                <w:lang w:val="en-US" w:eastAsia="zh-CN"/>
              </w:rPr>
              <w:t>3.</w:t>
            </w:r>
            <w:r>
              <w:rPr>
                <w:rFonts w:hint="eastAsia" w:ascii="宋体" w:hAnsi="宋体" w:cs="宋体"/>
                <w:color w:val="auto"/>
                <w:highlight w:val="none"/>
              </w:rPr>
              <w:t>报价人按照采购人提供的报价清单填写报价</w:t>
            </w:r>
          </w:p>
          <w:p>
            <w:pPr>
              <w:keepNext w:val="0"/>
              <w:keepLines w:val="0"/>
              <w:pageBreakBefore w:val="0"/>
              <w:widowControl w:val="0"/>
              <w:kinsoku/>
              <w:wordWrap/>
              <w:overflowPunct/>
              <w:bidi w:val="0"/>
              <w:spacing w:line="400" w:lineRule="exact"/>
              <w:ind w:firstLine="420" w:firstLineChars="200"/>
              <w:textAlignment w:val="auto"/>
              <w:rPr>
                <w:rFonts w:ascii="宋体" w:hAnsi="宋体" w:cs="宋体"/>
                <w:b w:val="0"/>
                <w:bCs/>
                <w:color w:val="auto"/>
                <w:szCs w:val="21"/>
                <w:highlight w:val="none"/>
              </w:rPr>
            </w:pPr>
            <w:r>
              <w:rPr>
                <w:rFonts w:hint="eastAsia" w:ascii="宋体" w:hAnsi="宋体" w:cs="宋体"/>
                <w:b w:val="0"/>
                <w:bCs/>
                <w:color w:val="auto"/>
                <w:szCs w:val="21"/>
                <w:highlight w:val="none"/>
                <w:lang w:val="en-US" w:eastAsia="zh-CN"/>
              </w:rPr>
              <w:t>4.投标报价</w:t>
            </w:r>
            <w:r>
              <w:rPr>
                <w:rFonts w:hint="eastAsia" w:ascii="宋体" w:hAnsi="宋体" w:cs="宋体"/>
                <w:b w:val="0"/>
                <w:bCs/>
                <w:color w:val="auto"/>
                <w:szCs w:val="21"/>
                <w:highlight w:val="none"/>
              </w:rPr>
              <w:t>取小数点后两位，小数点后第三位四舍五入。</w:t>
            </w:r>
          </w:p>
          <w:p>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rPr>
            </w:pPr>
            <w:r>
              <w:rPr>
                <w:rFonts w:hint="eastAsia" w:ascii="宋体" w:hAnsi="宋体" w:cs="宋体"/>
                <w:b w:val="0"/>
                <w:bCs w:val="0"/>
                <w:color w:val="auto"/>
                <w:szCs w:val="21"/>
                <w:highlight w:val="none"/>
                <w:lang w:val="en-US" w:eastAsia="zh-CN"/>
              </w:rPr>
              <w:t>5.</w:t>
            </w:r>
            <w:r>
              <w:rPr>
                <w:rFonts w:hint="eastAsia" w:ascii="宋体" w:hAnsi="宋体" w:cs="宋体"/>
                <w:b w:val="0"/>
                <w:bCs w:val="0"/>
                <w:color w:val="auto"/>
                <w:szCs w:val="21"/>
                <w:highlight w:val="none"/>
              </w:rPr>
              <w:t>本项目报价清单及说明随比选文件一并发布，详见附件。</w:t>
            </w:r>
          </w:p>
          <w:p>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rPr>
            </w:pPr>
            <w:r>
              <w:rPr>
                <w:rFonts w:hint="eastAsia" w:ascii="宋体" w:hAnsi="宋体" w:cs="宋体"/>
                <w:b w:val="0"/>
                <w:bCs w:val="0"/>
                <w:color w:val="auto"/>
              </w:rPr>
              <w:t>特别提醒：</w:t>
            </w:r>
          </w:p>
          <w:p>
            <w:pPr>
              <w:keepNext w:val="0"/>
              <w:keepLines w:val="0"/>
              <w:pageBreakBefore w:val="0"/>
              <w:kinsoku/>
              <w:overflowPunct/>
              <w:bidi w:val="0"/>
              <w:adjustRightInd w:val="0"/>
              <w:snapToGrid w:val="0"/>
              <w:spacing w:line="400" w:lineRule="exact"/>
              <w:ind w:firstLine="344" w:firstLineChars="164"/>
              <w:textAlignment w:val="auto"/>
              <w:rPr>
                <w:rFonts w:hint="eastAsia" w:ascii="宋体" w:hAnsi="宋体" w:cs="宋体"/>
                <w:b w:val="0"/>
                <w:bCs w:val="0"/>
                <w:color w:val="auto"/>
              </w:rPr>
            </w:pPr>
            <w:r>
              <w:rPr>
                <w:rFonts w:hint="eastAsia" w:ascii="宋体" w:hAnsi="宋体" w:cs="宋体"/>
                <w:b w:val="0"/>
                <w:bCs w:val="0"/>
                <w:color w:val="auto"/>
                <w:szCs w:val="21"/>
              </w:rPr>
              <w:t>1.</w:t>
            </w:r>
            <w:r>
              <w:rPr>
                <w:rFonts w:hint="eastAsia" w:ascii="宋体" w:hAnsi="宋体" w:cs="宋体"/>
                <w:b w:val="0"/>
                <w:bCs w:val="0"/>
                <w:color w:val="auto"/>
                <w:u w:val="single"/>
              </w:rPr>
              <w:t>若因</w:t>
            </w:r>
            <w:r>
              <w:rPr>
                <w:rFonts w:hint="eastAsia" w:ascii="宋体" w:hAnsi="宋体" w:cs="宋体"/>
                <w:b w:val="0"/>
                <w:bCs w:val="0"/>
                <w:color w:val="auto"/>
                <w:u w:val="single"/>
                <w:lang w:eastAsia="zh-CN"/>
              </w:rPr>
              <w:t>报价人</w:t>
            </w:r>
            <w:r>
              <w:rPr>
                <w:rFonts w:hint="eastAsia" w:ascii="宋体" w:hAnsi="宋体" w:cs="宋体"/>
                <w:b w:val="0"/>
                <w:bCs w:val="0"/>
                <w:color w:val="auto"/>
                <w:u w:val="single"/>
              </w:rPr>
              <w:t>在报价时有漏报、漏项的情况发生，</w:t>
            </w:r>
            <w:r>
              <w:rPr>
                <w:rFonts w:hint="eastAsia" w:ascii="宋体" w:hAnsi="宋体" w:cs="宋体"/>
                <w:b w:val="0"/>
                <w:bCs w:val="0"/>
                <w:color w:val="auto"/>
                <w:u w:val="single"/>
                <w:lang w:eastAsia="zh-CN"/>
              </w:rPr>
              <w:t>采购人</w:t>
            </w:r>
            <w:r>
              <w:rPr>
                <w:rFonts w:hint="eastAsia" w:ascii="宋体" w:hAnsi="宋体" w:cs="宋体"/>
                <w:b w:val="0"/>
                <w:bCs w:val="0"/>
                <w:color w:val="auto"/>
                <w:u w:val="single"/>
              </w:rPr>
              <w:t>均视为</w:t>
            </w:r>
            <w:r>
              <w:rPr>
                <w:rFonts w:hint="eastAsia" w:ascii="宋体" w:hAnsi="宋体" w:cs="宋体"/>
                <w:b w:val="0"/>
                <w:bCs w:val="0"/>
                <w:color w:val="auto"/>
                <w:u w:val="single"/>
                <w:lang w:eastAsia="zh-CN"/>
              </w:rPr>
              <w:t>报价人</w:t>
            </w:r>
            <w:r>
              <w:rPr>
                <w:rFonts w:hint="eastAsia" w:ascii="宋体" w:hAnsi="宋体" w:cs="宋体"/>
                <w:b w:val="0"/>
                <w:bCs w:val="0"/>
                <w:color w:val="auto"/>
                <w:u w:val="single"/>
              </w:rPr>
              <w:t>已充分理解</w:t>
            </w:r>
            <w:r>
              <w:rPr>
                <w:rFonts w:hint="eastAsia" w:ascii="宋体" w:hAnsi="宋体" w:cs="宋体"/>
                <w:b w:val="0"/>
                <w:bCs w:val="0"/>
                <w:color w:val="auto"/>
                <w:u w:val="single"/>
                <w:lang w:val="en-US" w:eastAsia="zh-CN"/>
              </w:rPr>
              <w:t>竞争性比选</w:t>
            </w:r>
            <w:r>
              <w:rPr>
                <w:rFonts w:hint="eastAsia" w:ascii="宋体" w:hAnsi="宋体" w:cs="宋体"/>
                <w:b w:val="0"/>
                <w:bCs w:val="0"/>
                <w:color w:val="auto"/>
                <w:u w:val="single"/>
              </w:rPr>
              <w:t>文件要求，漏报、漏项部分已包含在其报价之中。该</w:t>
            </w:r>
            <w:r>
              <w:rPr>
                <w:rFonts w:hint="eastAsia" w:ascii="宋体" w:hAnsi="宋体" w:cs="宋体"/>
                <w:b w:val="0"/>
                <w:bCs w:val="0"/>
                <w:color w:val="auto"/>
                <w:u w:val="single"/>
                <w:lang w:eastAsia="zh-CN"/>
              </w:rPr>
              <w:t>报价人</w:t>
            </w:r>
            <w:r>
              <w:rPr>
                <w:rFonts w:hint="eastAsia" w:ascii="宋体" w:hAnsi="宋体" w:cs="宋体"/>
                <w:b w:val="0"/>
                <w:bCs w:val="0"/>
                <w:color w:val="auto"/>
                <w:u w:val="single"/>
              </w:rPr>
              <w:t>若中标，其报价不得调整</w:t>
            </w:r>
            <w:r>
              <w:rPr>
                <w:rFonts w:hint="eastAsia" w:ascii="宋体" w:hAnsi="宋体" w:cs="宋体"/>
                <w:b w:val="0"/>
                <w:bCs w:val="0"/>
                <w:color w:val="auto"/>
              </w:rPr>
              <w:t>。</w:t>
            </w:r>
          </w:p>
          <w:p>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b w:val="0"/>
                <w:bCs w:val="0"/>
                <w:color w:val="auto"/>
                <w:szCs w:val="21"/>
              </w:rPr>
              <w:t>2.</w:t>
            </w:r>
            <w:r>
              <w:rPr>
                <w:rFonts w:hint="eastAsia" w:ascii="宋体" w:hAnsi="宋体" w:cs="宋体"/>
                <w:b w:val="0"/>
                <w:bCs w:val="0"/>
                <w:color w:val="auto"/>
                <w:u w:val="single"/>
                <w:lang w:eastAsia="zh-CN"/>
              </w:rPr>
              <w:t>报价人</w:t>
            </w:r>
            <w:r>
              <w:rPr>
                <w:rFonts w:hint="eastAsia" w:ascii="宋体" w:hAnsi="宋体" w:cs="宋体"/>
                <w:b w:val="0"/>
                <w:bCs w:val="0"/>
                <w:color w:val="auto"/>
                <w:u w:val="single"/>
              </w:rPr>
              <w:t>在报价时应充分考虑市场价格波动、人工费用上涨等不确定因素的风险，该</w:t>
            </w:r>
            <w:r>
              <w:rPr>
                <w:rFonts w:hint="eastAsia" w:ascii="宋体" w:hAnsi="宋体" w:cs="宋体"/>
                <w:b w:val="0"/>
                <w:bCs w:val="0"/>
                <w:color w:val="auto"/>
                <w:u w:val="single"/>
                <w:lang w:eastAsia="zh-CN"/>
              </w:rPr>
              <w:t>报价人</w:t>
            </w:r>
            <w:r>
              <w:rPr>
                <w:rFonts w:hint="eastAsia" w:ascii="宋体" w:hAnsi="宋体" w:cs="宋体"/>
                <w:b w:val="0"/>
                <w:bCs w:val="0"/>
                <w:color w:val="auto"/>
                <w:u w:val="single"/>
              </w:rPr>
              <w:t>若中标，其报价在服务期内不得调整</w:t>
            </w:r>
            <w:r>
              <w:rPr>
                <w:rFonts w:hint="eastAsia" w:ascii="宋体" w:hAnsi="宋体" w:cs="宋体"/>
                <w:b w:val="0"/>
                <w:bCs w:val="0"/>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17</w:t>
            </w:r>
          </w:p>
        </w:tc>
        <w:tc>
          <w:tcPr>
            <w:tcW w:w="2106" w:type="dxa"/>
            <w:tcBorders>
              <w:bottom w:val="single" w:color="auto" w:sz="4" w:space="0"/>
            </w:tcBorders>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最高投标限价</w:t>
            </w:r>
          </w:p>
        </w:tc>
        <w:tc>
          <w:tcPr>
            <w:tcW w:w="7104" w:type="dxa"/>
            <w:tcBorders>
              <w:bottom w:val="single" w:color="auto" w:sz="4" w:space="0"/>
            </w:tcBorders>
          </w:tcPr>
          <w:p>
            <w:pPr>
              <w:spacing w:line="420" w:lineRule="exact"/>
              <w:ind w:firstLine="422" w:firstLineChars="200"/>
              <w:rPr>
                <w:rFonts w:ascii="宋体" w:hAnsi="宋体"/>
                <w:b/>
                <w:bCs/>
                <w:color w:val="auto"/>
                <w:szCs w:val="21"/>
                <w:highlight w:val="none"/>
              </w:rPr>
            </w:pPr>
            <w:r>
              <w:rPr>
                <w:rFonts w:hint="eastAsia" w:ascii="宋体" w:hAnsi="宋体"/>
                <w:b/>
                <w:bCs/>
                <w:color w:val="auto"/>
                <w:szCs w:val="21"/>
                <w:highlight w:val="none"/>
                <w:lang w:val="en-US" w:eastAsia="zh-CN"/>
              </w:rPr>
              <w:t>本项目设置</w:t>
            </w:r>
            <w:r>
              <w:rPr>
                <w:rFonts w:hint="eastAsia" w:ascii="宋体" w:hAnsi="宋体"/>
                <w:b/>
                <w:bCs/>
                <w:color w:val="auto"/>
                <w:szCs w:val="21"/>
                <w:highlight w:val="none"/>
              </w:rPr>
              <w:t>最高限价</w:t>
            </w:r>
            <w:r>
              <w:rPr>
                <w:rFonts w:hint="eastAsia" w:ascii="宋体" w:hAnsi="宋体"/>
                <w:b/>
                <w:bCs/>
                <w:color w:val="auto"/>
                <w:szCs w:val="21"/>
                <w:highlight w:val="none"/>
                <w:lang w:val="en-US" w:eastAsia="zh-CN"/>
              </w:rPr>
              <w:t>为</w:t>
            </w:r>
            <w:r>
              <w:rPr>
                <w:rFonts w:hint="eastAsia" w:ascii="宋体" w:hAnsi="宋体"/>
                <w:b/>
                <w:bCs/>
                <w:color w:val="auto"/>
                <w:szCs w:val="21"/>
                <w:highlight w:val="none"/>
                <w:u w:val="single"/>
                <w:lang w:val="en-US" w:eastAsia="zh-CN"/>
              </w:rPr>
              <w:t xml:space="preserve"> </w:t>
            </w:r>
            <w:r>
              <w:rPr>
                <w:rFonts w:hint="eastAsia" w:ascii="宋体" w:hAnsi="宋体" w:eastAsia="宋体" w:cs="宋体"/>
                <w:b/>
                <w:bCs/>
                <w:color w:val="auto"/>
                <w:szCs w:val="21"/>
                <w:highlight w:val="none"/>
                <w:u w:val="single"/>
              </w:rPr>
              <w:t>257816.00</w:t>
            </w:r>
            <w:r>
              <w:rPr>
                <w:rFonts w:hint="eastAsia" w:ascii="宋体" w:hAnsi="宋体"/>
                <w:b/>
                <w:bCs/>
                <w:color w:val="auto"/>
                <w:szCs w:val="21"/>
                <w:highlight w:val="none"/>
              </w:rPr>
              <w:t>元。</w:t>
            </w:r>
            <w:r>
              <w:rPr>
                <w:rFonts w:hint="eastAsia" w:ascii="宋体" w:hAnsi="宋体"/>
                <w:b/>
                <w:bCs/>
                <w:color w:val="auto"/>
                <w:szCs w:val="21"/>
                <w:highlight w:val="none"/>
                <w:lang w:val="en-US" w:eastAsia="zh-CN"/>
              </w:rPr>
              <w:t>1标段</w:t>
            </w:r>
            <w:r>
              <w:rPr>
                <w:rFonts w:hint="eastAsia" w:ascii="宋体" w:hAnsi="宋体"/>
                <w:b/>
                <w:bCs/>
                <w:color w:val="auto"/>
                <w:szCs w:val="21"/>
                <w:highlight w:val="none"/>
              </w:rPr>
              <w:t>最高限价</w:t>
            </w:r>
            <w:r>
              <w:rPr>
                <w:rFonts w:hint="eastAsia" w:ascii="宋体" w:hAnsi="宋体"/>
                <w:b/>
                <w:bCs/>
                <w:color w:val="auto"/>
                <w:szCs w:val="21"/>
                <w:highlight w:val="none"/>
                <w:lang w:val="en-US" w:eastAsia="zh-CN"/>
              </w:rPr>
              <w:t>为</w:t>
            </w:r>
            <w:r>
              <w:rPr>
                <w:rFonts w:hint="eastAsia" w:ascii="宋体" w:hAnsi="宋体" w:eastAsia="宋体" w:cs="宋体"/>
                <w:b/>
                <w:bCs/>
                <w:color w:val="auto"/>
                <w:szCs w:val="21"/>
                <w:highlight w:val="none"/>
                <w:u w:val="single"/>
              </w:rPr>
              <w:t>152263.00</w:t>
            </w:r>
            <w:r>
              <w:rPr>
                <w:rFonts w:hint="eastAsia" w:ascii="宋体" w:hAnsi="宋体" w:cs="宋体"/>
                <w:b/>
                <w:bCs/>
                <w:color w:val="auto"/>
                <w:szCs w:val="21"/>
                <w:highlight w:val="none"/>
                <w:u w:val="single"/>
                <w:lang w:val="en-US" w:eastAsia="zh-CN"/>
              </w:rPr>
              <w:t>元，</w:t>
            </w:r>
            <w:r>
              <w:rPr>
                <w:rFonts w:hint="eastAsia" w:ascii="宋体" w:hAnsi="宋体"/>
                <w:b/>
                <w:bCs/>
                <w:color w:val="auto"/>
                <w:szCs w:val="21"/>
                <w:highlight w:val="none"/>
                <w:lang w:val="en-US" w:eastAsia="zh-CN"/>
              </w:rPr>
              <w:t>2标段</w:t>
            </w:r>
            <w:r>
              <w:rPr>
                <w:rFonts w:hint="eastAsia" w:ascii="宋体" w:hAnsi="宋体"/>
                <w:b/>
                <w:bCs/>
                <w:color w:val="auto"/>
                <w:szCs w:val="21"/>
                <w:highlight w:val="none"/>
              </w:rPr>
              <w:t>最高限价</w:t>
            </w:r>
            <w:r>
              <w:rPr>
                <w:rFonts w:hint="eastAsia" w:ascii="宋体" w:hAnsi="宋体"/>
                <w:b/>
                <w:bCs/>
                <w:color w:val="auto"/>
                <w:szCs w:val="21"/>
                <w:highlight w:val="none"/>
                <w:lang w:val="en-US" w:eastAsia="zh-CN"/>
              </w:rPr>
              <w:t>为</w:t>
            </w:r>
            <w:r>
              <w:rPr>
                <w:rFonts w:hint="eastAsia" w:ascii="宋体" w:hAnsi="宋体" w:eastAsia="宋体" w:cs="宋体"/>
                <w:b/>
                <w:bCs/>
                <w:color w:val="auto"/>
                <w:szCs w:val="21"/>
                <w:highlight w:val="none"/>
                <w:u w:val="single"/>
              </w:rPr>
              <w:t>105553.00</w:t>
            </w:r>
            <w:r>
              <w:rPr>
                <w:rFonts w:hint="eastAsia" w:ascii="宋体" w:hAnsi="宋体" w:cs="宋体"/>
                <w:b/>
                <w:bCs/>
                <w:color w:val="auto"/>
                <w:szCs w:val="21"/>
                <w:highlight w:val="none"/>
                <w:u w:val="single"/>
                <w:lang w:val="en-US" w:eastAsia="zh-CN"/>
              </w:rPr>
              <w:t>元。</w:t>
            </w:r>
          </w:p>
          <w:p>
            <w:pPr>
              <w:keepNext w:val="0"/>
              <w:keepLines w:val="0"/>
              <w:pageBreakBefore w:val="0"/>
              <w:widowControl w:val="0"/>
              <w:kinsoku/>
              <w:wordWrap/>
              <w:overflowPunct/>
              <w:bidi w:val="0"/>
              <w:spacing w:line="400" w:lineRule="exact"/>
              <w:ind w:firstLine="420" w:firstLineChars="200"/>
              <w:textAlignment w:val="auto"/>
              <w:rPr>
                <w:rFonts w:ascii="宋体" w:hAnsi="宋体" w:cs="宋体"/>
                <w:b/>
                <w:bCs/>
                <w:color w:val="auto"/>
                <w:kern w:val="0"/>
                <w:szCs w:val="21"/>
                <w:highlight w:val="none"/>
              </w:rPr>
            </w:pPr>
            <w:r>
              <w:rPr>
                <w:rFonts w:hint="eastAsia" w:ascii="宋体" w:hAnsi="宋体" w:cs="宋体"/>
                <w:b w:val="0"/>
                <w:bCs/>
                <w:color w:val="auto"/>
                <w:szCs w:val="21"/>
                <w:highlight w:val="none"/>
              </w:rPr>
              <w:t>报价人报价不得高于采购人发布的最高限价</w:t>
            </w:r>
            <w:r>
              <w:rPr>
                <w:rFonts w:hint="eastAsia" w:ascii="宋体" w:hAnsi="宋体" w:cs="宋体"/>
                <w:b w:val="0"/>
                <w:bCs/>
                <w:color w:val="auto"/>
                <w:szCs w:val="21"/>
                <w:highlight w:val="none"/>
                <w:lang w:val="en-US" w:eastAsia="zh-CN"/>
              </w:rPr>
              <w:t>和单项限价（详见清单）</w:t>
            </w:r>
            <w:r>
              <w:rPr>
                <w:rFonts w:hint="eastAsia" w:ascii="宋体" w:hAnsi="宋体" w:cs="宋体"/>
                <w:b w:val="0"/>
                <w:bCs/>
                <w:color w:val="auto"/>
                <w:szCs w:val="21"/>
                <w:highlight w:val="none"/>
              </w:rPr>
              <w:t>，否则其竞争性比选响应文件视为重大偏差，竞争性比选响应文件将按否决报价处理</w:t>
            </w:r>
            <w:r>
              <w:rPr>
                <w:rFonts w:hint="eastAsia" w:ascii="宋体" w:hAnsi="宋体" w:cs="宋体"/>
                <w:b w:val="0"/>
                <w:bCs/>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pPr>
              <w:keepNext w:val="0"/>
              <w:keepLines w:val="0"/>
              <w:pageBreakBefore w:val="0"/>
              <w:widowControl w:val="0"/>
              <w:kinsoku/>
              <w:wordWrap/>
              <w:overflowPunct/>
              <w:bidi w:val="0"/>
              <w:spacing w:line="400" w:lineRule="exact"/>
              <w:jc w:val="center"/>
              <w:textAlignment w:val="auto"/>
              <w:rPr>
                <w:rFonts w:hint="default"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18</w:t>
            </w:r>
          </w:p>
        </w:tc>
        <w:tc>
          <w:tcPr>
            <w:tcW w:w="2106" w:type="dxa"/>
            <w:tcBorders>
              <w:bottom w:val="single" w:color="auto" w:sz="4" w:space="0"/>
            </w:tcBorders>
            <w:vAlign w:val="center"/>
          </w:tcPr>
          <w:p>
            <w:pPr>
              <w:keepNext w:val="0"/>
              <w:keepLines w:val="0"/>
              <w:pageBreakBefore w:val="0"/>
              <w:widowControl w:val="0"/>
              <w:kinsoku/>
              <w:wordWrap/>
              <w:overflowPunct/>
              <w:bidi w:val="0"/>
              <w:spacing w:line="400" w:lineRule="exact"/>
              <w:jc w:val="center"/>
              <w:textAlignment w:val="auto"/>
              <w:rPr>
                <w:rFonts w:hint="eastAsia" w:ascii="宋体" w:hAnsi="宋体" w:cs="宋体"/>
                <w:color w:val="auto"/>
                <w:kern w:val="0"/>
                <w:szCs w:val="21"/>
                <w:highlight w:val="none"/>
              </w:rPr>
            </w:pPr>
            <w:r>
              <w:rPr>
                <w:rFonts w:hint="eastAsia" w:hAnsi="宋体"/>
                <w:color w:val="auto"/>
                <w:kern w:val="2"/>
                <w:sz w:val="21"/>
                <w:szCs w:val="21"/>
              </w:rPr>
              <w:t>合同签订方式</w:t>
            </w:r>
          </w:p>
        </w:tc>
        <w:tc>
          <w:tcPr>
            <w:tcW w:w="7104" w:type="dxa"/>
            <w:tcBorders>
              <w:bottom w:val="single" w:color="auto" w:sz="4" w:space="0"/>
            </w:tcBorders>
          </w:tcPr>
          <w:p>
            <w:pPr>
              <w:keepNext w:val="0"/>
              <w:keepLines w:val="0"/>
              <w:pageBreakBefore w:val="0"/>
              <w:widowControl w:val="0"/>
              <w:kinsoku/>
              <w:wordWrap/>
              <w:overflowPunct/>
              <w:bidi w:val="0"/>
              <w:spacing w:line="400" w:lineRule="exact"/>
              <w:ind w:firstLine="420" w:firstLineChars="200"/>
              <w:textAlignment w:val="auto"/>
              <w:rPr>
                <w:rFonts w:hint="eastAsia" w:ascii="宋体" w:hAnsi="宋体" w:cs="宋体"/>
                <w:b w:val="0"/>
                <w:bCs/>
                <w:color w:val="auto"/>
                <w:szCs w:val="21"/>
                <w:highlight w:val="none"/>
              </w:rPr>
            </w:pPr>
            <w:r>
              <w:rPr>
                <w:rFonts w:hint="eastAsia" w:asciiTheme="minorEastAsia" w:hAnsiTheme="minorEastAsia" w:eastAsiaTheme="minorEastAsia" w:cstheme="minorEastAsia"/>
                <w:color w:val="auto"/>
                <w:lang w:val="en-US" w:eastAsia="zh-CN"/>
              </w:rPr>
              <w:t>本次招标中标人应按照招标人要求，中标后需与重庆首讯科技股份有限公司签订合同。</w:t>
            </w:r>
            <w:r>
              <w:rPr>
                <w:rFonts w:hint="eastAsia" w:hAnsi="宋体"/>
                <w:color w:val="auto"/>
                <w:kern w:val="2"/>
                <w:sz w:val="21"/>
                <w:szCs w:val="21"/>
              </w:rPr>
              <w:t>合同采用一年一签的方式，通过公司年度考核合格后续签下一年度合同。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18</w:t>
            </w:r>
          </w:p>
        </w:tc>
        <w:tc>
          <w:tcPr>
            <w:tcW w:w="2106" w:type="dxa"/>
            <w:tcBorders>
              <w:bottom w:val="single" w:color="auto" w:sz="4" w:space="0"/>
            </w:tcBorders>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合同支付办法</w:t>
            </w:r>
          </w:p>
        </w:tc>
        <w:tc>
          <w:tcPr>
            <w:tcW w:w="7104" w:type="dxa"/>
            <w:tcBorders>
              <w:bottom w:val="single" w:color="auto" w:sz="4" w:space="0"/>
            </w:tcBorders>
            <w:vAlign w:val="center"/>
          </w:tcPr>
          <w:p>
            <w:pPr>
              <w:pStyle w:val="28"/>
              <w:keepNext w:val="0"/>
              <w:keepLines w:val="0"/>
              <w:pageBreakBefore w:val="0"/>
              <w:widowControl/>
              <w:suppressLineNumbers w:val="0"/>
              <w:kinsoku/>
              <w:overflowPunct/>
              <w:autoSpaceDE w:val="0"/>
              <w:autoSpaceDN w:val="0"/>
              <w:bidi w:val="0"/>
              <w:adjustRightInd w:val="0"/>
              <w:snapToGrid w:val="0"/>
              <w:spacing w:before="0" w:beforeAutospacing="0" w:after="0" w:afterAutospacing="0" w:line="400" w:lineRule="exact"/>
              <w:ind w:left="0" w:right="0" w:firstLineChars="200"/>
              <w:jc w:val="both"/>
              <w:textAlignment w:val="auto"/>
              <w:rPr>
                <w:rFonts w:hint="default"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每次支付前需由乙方提交书面支付申请、相关证明材料以及对应增值税专用发票经甲方审核无误后，按以下节点支付，因乙方原因未按时提交相关资料，导致支付延期的，非甲方违约责任：</w:t>
            </w:r>
          </w:p>
          <w:p>
            <w:pPr>
              <w:keepNext w:val="0"/>
              <w:keepLines w:val="0"/>
              <w:pageBreakBefore w:val="0"/>
              <w:widowControl w:val="0"/>
              <w:kinsoku/>
              <w:wordWrap/>
              <w:overflowPunct/>
              <w:bidi w:val="0"/>
              <w:spacing w:line="400" w:lineRule="exact"/>
              <w:ind w:firstLine="420" w:firstLineChars="200"/>
              <w:jc w:val="both"/>
              <w:textAlignment w:val="auto"/>
              <w:rPr>
                <w:rFonts w:hint="default" w:eastAsia="宋体"/>
                <w:color w:val="auto"/>
                <w:highlight w:val="none"/>
                <w:lang w:val="en-US" w:eastAsia="zh-CN"/>
              </w:rPr>
            </w:pPr>
            <w:bookmarkStart w:id="109" w:name="支付方式"/>
            <w:r>
              <w:rPr>
                <w:rFonts w:hint="eastAsia" w:ascii="宋体" w:hAnsi="宋体" w:cs="宋体"/>
                <w:b w:val="0"/>
                <w:bCs w:val="0"/>
                <w:color w:val="auto"/>
                <w:sz w:val="21"/>
                <w:szCs w:val="21"/>
                <w:highlight w:val="none"/>
                <w:lang w:val="en-US" w:eastAsia="zh-CN"/>
              </w:rPr>
              <w:t>支付方式</w:t>
            </w:r>
            <w:bookmarkEnd w:id="109"/>
            <w:r>
              <w:rPr>
                <w:rFonts w:hint="eastAsia" w:ascii="宋体" w:hAnsi="宋体" w:cs="宋体"/>
                <w:b w:val="0"/>
                <w:bCs w:val="0"/>
                <w:color w:val="auto"/>
                <w:sz w:val="21"/>
                <w:szCs w:val="21"/>
                <w:highlight w:val="none"/>
                <w:lang w:val="en-US" w:eastAsia="zh-CN"/>
              </w:rPr>
              <w:t>：</w:t>
            </w:r>
            <w:r>
              <w:rPr>
                <w:rFonts w:hint="eastAsia"/>
              </w:rPr>
              <w:t>车辆维修费</w:t>
            </w:r>
            <w:r>
              <w:rPr>
                <w:rFonts w:hint="eastAsia"/>
                <w:lang w:val="en-US" w:eastAsia="zh-CN"/>
              </w:rPr>
              <w:t>次</w:t>
            </w:r>
            <w:r>
              <w:rPr>
                <w:rFonts w:hint="eastAsia"/>
              </w:rPr>
              <w:t>月结算。车辆修竣后，乙方先提供车辆维修结算单经甲方确认后，由乙方开具增值税专用发票交送修人员报销，甲方在收到乙方的发票和相关结算资料</w:t>
            </w:r>
            <w:r>
              <w:rPr>
                <w:rFonts w:hint="eastAsia"/>
                <w:lang w:val="en-US" w:eastAsia="zh-CN"/>
              </w:rPr>
              <w:t>后的下</w:t>
            </w:r>
            <w:r>
              <w:rPr>
                <w:rFonts w:hint="eastAsia"/>
              </w:rPr>
              <w:t>一个月之内转账支付。乙方未按约提供发票和相关结算资料的，甲方的付款期限相应顺延。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9</w:t>
            </w:r>
          </w:p>
        </w:tc>
        <w:tc>
          <w:tcPr>
            <w:tcW w:w="2106" w:type="dxa"/>
            <w:vAlign w:val="center"/>
          </w:tcPr>
          <w:p>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104" w:type="dxa"/>
            <w:vAlign w:val="center"/>
          </w:tcPr>
          <w:p>
            <w:pPr>
              <w:keepNext w:val="0"/>
              <w:keepLines w:val="0"/>
              <w:pageBreakBefore w:val="0"/>
              <w:widowControl w:val="0"/>
              <w:kinsoku/>
              <w:wordWrap/>
              <w:overflowPunct/>
              <w:bidi w:val="0"/>
              <w:spacing w:line="400" w:lineRule="exact"/>
              <w:ind w:firstLine="420" w:firstLineChars="200"/>
              <w:jc w:val="both"/>
              <w:textAlignment w:val="auto"/>
              <w:rPr>
                <w:rFonts w:hint="default" w:ascii="宋体" w:hAnsi="宋体" w:eastAsia="宋体" w:cs="宋体"/>
                <w:color w:val="auto"/>
                <w:highlight w:val="none"/>
                <w:lang w:val="en-US" w:eastAsia="zh-CN"/>
              </w:rPr>
            </w:pPr>
            <w:r>
              <w:rPr>
                <w:rFonts w:hint="eastAsia" w:ascii="宋体" w:hAnsi="宋体" w:cs="宋体"/>
                <w:color w:val="auto"/>
                <w:highlight w:val="none"/>
              </w:rPr>
              <w:t>推荐的中标候选人数：2名</w:t>
            </w:r>
            <w:r>
              <w:rPr>
                <w:rFonts w:hint="eastAsia" w:ascii="宋体" w:hAnsi="宋体" w:cs="宋体"/>
                <w:color w:val="auto"/>
                <w:highlight w:val="none"/>
                <w:lang w:eastAsia="zh-CN"/>
              </w:rPr>
              <w:t>，</w:t>
            </w:r>
            <w:r>
              <w:rPr>
                <w:rFonts w:hint="eastAsia" w:ascii="宋体" w:hAnsi="宋体" w:cs="宋体"/>
                <w:color w:val="auto"/>
                <w:highlight w:val="none"/>
                <w:lang w:val="en-US" w:eastAsia="zh-CN"/>
              </w:rPr>
              <w:t>其中1标段中标候选人设为第一中标候选人，2标段中标候选人设为第二中标候选人。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20</w:t>
            </w:r>
          </w:p>
        </w:tc>
        <w:tc>
          <w:tcPr>
            <w:tcW w:w="2106" w:type="dxa"/>
            <w:vAlign w:val="center"/>
          </w:tcPr>
          <w:p>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保证金</w:t>
            </w:r>
          </w:p>
        </w:tc>
        <w:tc>
          <w:tcPr>
            <w:tcW w:w="7104" w:type="dxa"/>
            <w:vAlign w:val="center"/>
          </w:tcPr>
          <w:p>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hAnsi="宋体" w:cs="宋体"/>
                <w:b w:val="0"/>
                <w:bCs w:val="0"/>
                <w:color w:val="auto"/>
                <w:kern w:val="0"/>
                <w:sz w:val="21"/>
                <w:szCs w:val="18"/>
                <w:highlight w:val="none"/>
                <w:lang w:val="en-US" w:eastAsia="zh-CN" w:bidi="ar"/>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110" w:name="是否提供投标保证金"/>
            <w:r>
              <w:rPr>
                <w:rFonts w:hint="eastAsia" w:hAnsi="宋体" w:cs="宋体"/>
                <w:b w:val="0"/>
                <w:bCs w:val="0"/>
                <w:color w:val="auto"/>
                <w:kern w:val="0"/>
                <w:sz w:val="21"/>
                <w:szCs w:val="18"/>
                <w:highlight w:val="none"/>
                <w:lang w:val="en-US" w:eastAsia="zh-CN" w:bidi="ar"/>
              </w:rPr>
              <w:t>是</w:t>
            </w:r>
            <w:bookmarkEnd w:id="110"/>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1、报价人须缴纳投标保证金</w:t>
            </w:r>
            <w:r>
              <w:rPr>
                <w:rFonts w:hint="eastAsia" w:hAnsi="宋体" w:cs="宋体"/>
                <w:color w:val="auto"/>
                <w:sz w:val="21"/>
                <w:szCs w:val="21"/>
                <w:highlight w:val="none"/>
                <w:u w:val="single"/>
                <w:lang w:val="en-US" w:eastAsia="zh-CN"/>
              </w:rPr>
              <w:t xml:space="preserve"> 2000.00    </w:t>
            </w:r>
            <w:r>
              <w:rPr>
                <w:rFonts w:hint="eastAsia" w:ascii="宋体" w:hAnsi="宋体" w:eastAsia="宋体" w:cs="宋体"/>
                <w:color w:val="auto"/>
                <w:sz w:val="21"/>
                <w:szCs w:val="21"/>
                <w:highlight w:val="none"/>
              </w:rPr>
              <w:t>元，由报价人从公司基本账户将投标保证金汇至以下指定账户：</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转款备注：</w:t>
            </w:r>
            <w:r>
              <w:rPr>
                <w:rFonts w:hint="eastAsia" w:ascii="宋体" w:hAnsi="宋体" w:eastAsia="宋体" w:cs="宋体"/>
                <w:i/>
                <w:iCs/>
                <w:color w:val="auto"/>
                <w:sz w:val="21"/>
                <w:szCs w:val="21"/>
                <w:highlight w:val="none"/>
                <w:u w:val="single"/>
              </w:rPr>
              <w:t xml:space="preserve">        </w:t>
            </w:r>
            <w:r>
              <w:rPr>
                <w:rFonts w:hint="eastAsia" w:hAnsi="宋体" w:cs="宋体"/>
                <w:i/>
                <w:iCs/>
                <w:color w:val="auto"/>
                <w:sz w:val="21"/>
                <w:szCs w:val="21"/>
                <w:highlight w:val="none"/>
                <w:u w:val="single"/>
                <w:lang w:eastAsia="zh-CN"/>
              </w:rPr>
              <w:t>东南、南方数智运维中心维护车辆定点保养及维修服务</w:t>
            </w:r>
            <w:r>
              <w:rPr>
                <w:rFonts w:hint="eastAsia" w:hAnsi="宋体" w:cs="宋体"/>
                <w:i/>
                <w:iCs/>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2、投标保证金退还方式</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二、履约保证金</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bookmarkStart w:id="111" w:name="是否提供履约保证金"/>
            <w:r>
              <w:rPr>
                <w:rFonts w:hint="eastAsia" w:hAnsi="宋体" w:cs="宋体"/>
                <w:b w:val="0"/>
                <w:bCs w:val="0"/>
                <w:color w:val="auto"/>
                <w:kern w:val="0"/>
                <w:sz w:val="21"/>
                <w:szCs w:val="18"/>
                <w:highlight w:val="none"/>
                <w:lang w:val="en-US" w:eastAsia="zh-CN" w:bidi="ar"/>
              </w:rPr>
              <w:t>是</w:t>
            </w:r>
            <w:bookmarkEnd w:id="111"/>
          </w:p>
          <w:p>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r>
              <w:rPr>
                <w:rFonts w:hint="eastAsia" w:hAnsi="宋体"/>
                <w:color w:val="auto"/>
                <w:kern w:val="2"/>
                <w:sz w:val="21"/>
                <w:szCs w:val="21"/>
                <w:highlight w:val="none"/>
                <w:u w:val="single"/>
                <w:lang w:val="en-US" w:eastAsia="zh-CN"/>
              </w:rPr>
              <w:t>中标金额的10%</w:t>
            </w:r>
            <w:r>
              <w:rPr>
                <w:rFonts w:hint="eastAsia" w:hAnsi="宋体"/>
                <w:color w:val="auto"/>
                <w:kern w:val="2"/>
                <w:sz w:val="21"/>
                <w:szCs w:val="21"/>
                <w:highlight w:val="none"/>
                <w:lang w:val="en-US" w:eastAsia="zh-CN"/>
              </w:rPr>
              <w:t>。</w:t>
            </w:r>
          </w:p>
          <w:p>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r>
              <w:rPr>
                <w:rFonts w:hint="eastAsia" w:ascii="宋体" w:hAnsi="宋体" w:eastAsia="宋体" w:cs="宋体"/>
                <w:color w:val="auto"/>
                <w:sz w:val="21"/>
                <w:szCs w:val="21"/>
                <w:highlight w:val="none"/>
                <w:u w:val="single"/>
              </w:rPr>
              <w:t xml:space="preserve">             </w:t>
            </w:r>
            <w:r>
              <w:rPr>
                <w:rFonts w:hint="eastAsia" w:cs="宋体"/>
                <w:i/>
                <w:iCs/>
                <w:color w:val="auto"/>
                <w:sz w:val="21"/>
                <w:szCs w:val="21"/>
                <w:highlight w:val="none"/>
                <w:u w:val="single"/>
                <w:lang w:eastAsia="zh-CN"/>
              </w:rPr>
              <w:t>东南、南方数智运维中心维护车辆定点保养及维修服务</w:t>
            </w:r>
            <w:r>
              <w:rPr>
                <w:rFonts w:hint="eastAsia" w:cs="宋体"/>
                <w:i/>
                <w:iCs/>
                <w:color w:val="auto"/>
                <w:sz w:val="21"/>
                <w:szCs w:val="21"/>
                <w:highlight w:val="none"/>
                <w:u w:val="single"/>
                <w:lang w:val="en-US" w:eastAsia="zh-CN"/>
              </w:rPr>
              <w:t xml:space="preserve">     </w:t>
            </w:r>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kern w:val="2"/>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pPr>
              <w:pStyle w:val="149"/>
              <w:keepNext w:val="0"/>
              <w:keepLines w:val="0"/>
              <w:pageBreakBefore w:val="0"/>
              <w:widowControl w:val="0"/>
              <w:kinsoku/>
              <w:wordWrap/>
              <w:overflowPunct/>
              <w:topLinePunct w:val="0"/>
              <w:bidi w:val="0"/>
              <w:spacing w:line="400" w:lineRule="exact"/>
              <w:ind w:firstLine="422" w:firstLineChars="200"/>
              <w:textAlignment w:val="auto"/>
              <w:rPr>
                <w:rFonts w:hint="default" w:ascii="宋体" w:hAnsi="宋体" w:cs="宋体"/>
                <w:b/>
                <w:bCs/>
                <w:color w:val="auto"/>
                <w:kern w:val="0"/>
                <w:szCs w:val="21"/>
                <w:highlight w:val="none"/>
                <w:lang w:val="en-US" w:bidi="ar"/>
              </w:rPr>
            </w:pPr>
            <w:r>
              <w:rPr>
                <w:rFonts w:hint="eastAsia" w:hAnsi="宋体"/>
                <w:b/>
                <w:bCs/>
                <w:color w:val="auto"/>
                <w:kern w:val="2"/>
                <w:sz w:val="21"/>
                <w:szCs w:val="21"/>
                <w:highlight w:val="none"/>
                <w:lang w:val="en-US" w:eastAsia="zh-CN"/>
              </w:rPr>
              <w:t>三、低价风险担保金</w:t>
            </w:r>
          </w:p>
          <w:p>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报价人是否提供低价风险担保金</w:t>
            </w:r>
            <w:r>
              <w:rPr>
                <w:rFonts w:hint="eastAsia" w:ascii="宋体" w:hAnsi="宋体" w:cs="宋体"/>
                <w:b w:val="0"/>
                <w:bCs w:val="0"/>
                <w:color w:val="auto"/>
                <w:kern w:val="0"/>
                <w:sz w:val="21"/>
                <w:szCs w:val="18"/>
                <w:highlight w:val="none"/>
                <w:lang w:eastAsia="zh-CN" w:bidi="ar"/>
              </w:rPr>
              <w:t>：</w:t>
            </w:r>
            <w:bookmarkStart w:id="112" w:name="是否提供低价风险担保金"/>
            <w:r>
              <w:rPr>
                <w:rFonts w:hint="eastAsia" w:ascii="宋体" w:hAnsi="宋体" w:cs="宋体"/>
                <w:b w:val="0"/>
                <w:bCs w:val="0"/>
                <w:color w:val="auto"/>
                <w:kern w:val="0"/>
                <w:sz w:val="21"/>
                <w:szCs w:val="18"/>
                <w:highlight w:val="none"/>
                <w:lang w:val="en-US" w:eastAsia="zh-CN" w:bidi="ar"/>
              </w:rPr>
              <w:t>是</w:t>
            </w:r>
            <w:bookmarkEnd w:id="112"/>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低价风险担保：中标价低于</w:t>
            </w:r>
            <w:r>
              <w:rPr>
                <w:rFonts w:hint="eastAsia" w:ascii="宋体" w:hAnsi="宋体" w:cs="宋体"/>
                <w:color w:val="auto"/>
                <w:kern w:val="0"/>
                <w:szCs w:val="21"/>
                <w:highlight w:val="none"/>
                <w:lang w:val="en-US" w:eastAsia="zh-CN" w:bidi="ar"/>
              </w:rPr>
              <w:t>标段</w:t>
            </w:r>
            <w:r>
              <w:rPr>
                <w:rFonts w:hint="eastAsia" w:ascii="宋体" w:hAnsi="宋体" w:cs="宋体"/>
                <w:color w:val="auto"/>
                <w:kern w:val="0"/>
                <w:szCs w:val="21"/>
                <w:highlight w:val="none"/>
                <w:lang w:bidi="ar"/>
              </w:rPr>
              <w:t>最高限价的85%时提供，如不按时足额提供，视为中标人放弃中标，</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有权不退还其投标保证金。</w:t>
            </w:r>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中标人提供低价风险担保的形式、金额及期限：</w:t>
            </w:r>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（1）低价风险担保的形式：现金或保函；采用保函形式的，保函必须为不可撤销、不可转让且见索即付的独立保函，保函格式详见</w:t>
            </w:r>
            <w:r>
              <w:rPr>
                <w:rFonts w:hint="eastAsia" w:ascii="宋体" w:hAnsi="宋体" w:cs="宋体"/>
                <w:color w:val="auto"/>
                <w:kern w:val="0"/>
                <w:szCs w:val="21"/>
                <w:highlight w:val="none"/>
                <w:lang w:val="en-US" w:eastAsia="zh-CN" w:bidi="ar"/>
              </w:rPr>
              <w:t>附件</w:t>
            </w:r>
            <w:r>
              <w:rPr>
                <w:rFonts w:hint="eastAsia" w:ascii="宋体" w:hAnsi="宋体" w:cs="宋体"/>
                <w:color w:val="auto"/>
                <w:kern w:val="0"/>
                <w:szCs w:val="21"/>
                <w:highlight w:val="none"/>
                <w:lang w:bidi="ar"/>
              </w:rPr>
              <w:t>合同条款及格式附件，中标人出具保函时，不得修改“低价风险担保保函”名称，也不得对低价风险担保保函示范文本中付款条件等实质性内容进行修改，否则视为不符合</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w:t>
            </w:r>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（2）低价风险担保的金额：（最高限价×85%-中标价）×3，且最高不超过最高限价的85%。</w:t>
            </w:r>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（3）低价风险担保送达</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的时间：从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 xml:space="preserve">中标通知书送达拟中标人之日起 20 </w:t>
            </w:r>
            <w:r>
              <w:rPr>
                <w:rFonts w:hint="eastAsia" w:ascii="宋体" w:hAnsi="宋体" w:cs="宋体"/>
                <w:color w:val="auto"/>
                <w:kern w:val="0"/>
                <w:szCs w:val="21"/>
                <w:highlight w:val="none"/>
                <w:lang w:val="en-US" w:eastAsia="zh-CN" w:bidi="ar"/>
              </w:rPr>
              <w:t>个</w:t>
            </w:r>
            <w:r>
              <w:rPr>
                <w:rFonts w:hint="eastAsia" w:ascii="宋体" w:hAnsi="宋体" w:cs="宋体"/>
                <w:color w:val="auto"/>
                <w:kern w:val="0"/>
                <w:szCs w:val="21"/>
                <w:highlight w:val="none"/>
                <w:lang w:bidi="ar"/>
              </w:rPr>
              <w:t>工作日内。</w:t>
            </w:r>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签订合同的，其以现金形式提交低价风险担保的，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有权扣除其低价风险担保金并取消其中标资格；以保函形式提交低价风险担保的，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有权要求保函开立人支付保函担保的与低价风险担保金额等额的款项并取消中标人中标资格；中标人因自身原因未按中标通知书规定的时限与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签订合同，且未提交低价风险担保金或低价风险保函的，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有权要求中标人承担低价风险担保金等额的损失并取消中标人资格。</w:t>
            </w:r>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（5）低价风险担保的期限：自低价风险担保生效之日起至合同设备验收证书或验收款支付函签署之日止。</w:t>
            </w:r>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低价风险担保的退还时间：采用现金担保的，在现场工程师确认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完成后28天内全额退还，合同履行期间允许</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用符合要求的银行保函进行置换；若所</w:t>
            </w:r>
            <w:r>
              <w:rPr>
                <w:rFonts w:hint="eastAsia" w:ascii="宋体" w:hAnsi="宋体" w:cs="宋体"/>
                <w:color w:val="auto"/>
                <w:kern w:val="0"/>
                <w:szCs w:val="21"/>
                <w:highlight w:val="none"/>
                <w:lang w:val="en-US" w:eastAsia="zh-CN" w:bidi="ar"/>
              </w:rPr>
              <w:t>提供服务</w:t>
            </w:r>
            <w:r>
              <w:rPr>
                <w:rFonts w:hint="eastAsia" w:ascii="宋体" w:hAnsi="宋体" w:cs="宋体"/>
                <w:color w:val="auto"/>
                <w:kern w:val="0"/>
                <w:szCs w:val="21"/>
                <w:highlight w:val="none"/>
                <w:lang w:bidi="ar"/>
              </w:rPr>
              <w:t>完全满足要求，经现场工程师确认后可在</w:t>
            </w:r>
            <w:r>
              <w:rPr>
                <w:rFonts w:hint="eastAsia" w:ascii="宋体" w:hAnsi="宋体" w:cs="宋体"/>
                <w:color w:val="auto"/>
                <w:kern w:val="0"/>
                <w:szCs w:val="21"/>
                <w:highlight w:val="none"/>
                <w:lang w:val="en-US" w:eastAsia="zh-CN" w:bidi="ar"/>
              </w:rPr>
              <w:t>服务合同</w:t>
            </w:r>
            <w:r>
              <w:rPr>
                <w:rFonts w:hint="eastAsia" w:ascii="宋体" w:hAnsi="宋体" w:cs="宋体"/>
                <w:color w:val="auto"/>
                <w:kern w:val="0"/>
                <w:szCs w:val="21"/>
                <w:highlight w:val="none"/>
                <w:lang w:bidi="ar"/>
              </w:rPr>
              <w:t>金额达到合同金额的一半时，可申请退还一半的低价风险担保金，剩余部分在现场工程师确认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w:t>
            </w:r>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（5）低价风险担保的扣减：</w:t>
            </w:r>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在合同履行期间，以其投标时填报的价格过低为由拒绝</w:t>
            </w:r>
            <w:r>
              <w:rPr>
                <w:rFonts w:hint="eastAsia" w:ascii="宋体" w:hAnsi="宋体" w:cs="宋体"/>
                <w:color w:val="auto"/>
                <w:kern w:val="0"/>
                <w:szCs w:val="21"/>
                <w:highlight w:val="none"/>
                <w:lang w:val="en-US" w:eastAsia="zh-CN" w:bidi="ar"/>
              </w:rPr>
              <w:t>履行合同义务</w:t>
            </w:r>
            <w:r>
              <w:rPr>
                <w:rFonts w:hint="eastAsia" w:ascii="宋体" w:hAnsi="宋体" w:cs="宋体"/>
                <w:color w:val="auto"/>
                <w:kern w:val="0"/>
                <w:szCs w:val="21"/>
                <w:highlight w:val="none"/>
                <w:lang w:bidi="ar"/>
              </w:rPr>
              <w:t>；或因其自身其他原因导致项目暂停等，给</w:t>
            </w:r>
            <w:r>
              <w:rPr>
                <w:rFonts w:hint="eastAsia" w:ascii="宋体" w:hAnsi="宋体" w:cs="宋体"/>
                <w:color w:val="auto"/>
                <w:kern w:val="0"/>
                <w:szCs w:val="21"/>
                <w:highlight w:val="none"/>
                <w:lang w:eastAsia="zh-CN" w:bidi="ar"/>
              </w:rPr>
              <w:t>甲方</w:t>
            </w:r>
            <w:r>
              <w:rPr>
                <w:rFonts w:hint="eastAsia" w:ascii="宋体" w:hAnsi="宋体" w:cs="宋体"/>
                <w:color w:val="auto"/>
                <w:kern w:val="0"/>
                <w:szCs w:val="21"/>
                <w:highlight w:val="none"/>
                <w:lang w:bidi="ar"/>
              </w:rPr>
              <w:t>造成直接经济损失且拒绝承担的，按低价风险担保金额的50～100%扣减，直至解除合同；</w:t>
            </w:r>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②因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违约被解除合同的，低价风险担保将全额扣除；</w:t>
            </w:r>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③因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原因导致的其他情形。</w:t>
            </w:r>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拟中标人或者中标人放弃中标项目，无正当理由不与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签订合同，在签订合同时向</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提出附加条件或者更改合同实质性内容，或者拒不按照</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规定提交低价风险担保或履约担保的，取消其中标资格，投标保证金以现金形式交纳的不予退还，以保函形式递交的由保函开立人支付保函担保的与投标保证金等额的款项，给</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造成的损失超过投标保证金数额的，拟中标人或中标人应对超过部分予以赔偿。</w:t>
            </w:r>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备注：当中标人或拟中标人未按时提交低价风险担保，且属于可以延长低价风险担保提交期限的特殊情形时，经</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同意，可适当延长低价风险担保的提交期限。</w:t>
            </w:r>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投标总报价低于最高限价85%的，</w:t>
            </w:r>
            <w:r>
              <w:rPr>
                <w:rFonts w:hint="eastAsia" w:ascii="宋体" w:hAnsi="宋体" w:cs="宋体"/>
                <w:color w:val="auto"/>
                <w:kern w:val="0"/>
                <w:szCs w:val="21"/>
                <w:highlight w:val="none"/>
                <w:lang w:eastAsia="zh-CN" w:bidi="ar"/>
              </w:rPr>
              <w:t>报价人</w:t>
            </w:r>
            <w:r>
              <w:rPr>
                <w:rFonts w:hint="eastAsia" w:ascii="宋体" w:hAnsi="宋体" w:cs="宋体"/>
                <w:color w:val="auto"/>
                <w:kern w:val="0"/>
                <w:szCs w:val="21"/>
                <w:highlight w:val="none"/>
                <w:lang w:bidi="ar"/>
              </w:rPr>
              <w:t>应在编制</w:t>
            </w:r>
            <w:r>
              <w:rPr>
                <w:rFonts w:hint="eastAsia" w:ascii="宋体" w:hAnsi="宋体" w:cs="宋体"/>
                <w:color w:val="auto"/>
                <w:kern w:val="0"/>
                <w:szCs w:val="21"/>
                <w:highlight w:val="none"/>
                <w:lang w:eastAsia="zh-CN" w:bidi="ar"/>
              </w:rPr>
              <w:t>竞争性比选响应文件</w:t>
            </w:r>
            <w:r>
              <w:rPr>
                <w:rFonts w:hint="eastAsia" w:ascii="宋体" w:hAnsi="宋体" w:cs="宋体"/>
                <w:color w:val="auto"/>
                <w:kern w:val="0"/>
                <w:szCs w:val="21"/>
                <w:highlight w:val="none"/>
                <w:lang w:bidi="ar"/>
              </w:rPr>
              <w:t>时，在</w:t>
            </w:r>
            <w:r>
              <w:rPr>
                <w:rFonts w:hint="default" w:ascii="宋体" w:hAnsi="宋体" w:cs="宋体"/>
                <w:color w:val="auto"/>
                <w:highlight w:val="none"/>
              </w:rPr>
              <w:t>竞争性比选响应文件格式</w:t>
            </w:r>
            <w:r>
              <w:rPr>
                <w:rFonts w:hint="eastAsia" w:ascii="宋体" w:hAnsi="宋体" w:cs="宋体"/>
                <w:color w:val="auto"/>
                <w:kern w:val="0"/>
                <w:szCs w:val="21"/>
                <w:highlight w:val="none"/>
                <w:lang w:bidi="ar"/>
              </w:rPr>
              <w:t>中递交低价风险担保提交承诺书</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格式自拟</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w:t>
            </w:r>
          </w:p>
          <w:p>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cs="宋体"/>
                <w:color w:val="auto"/>
                <w:sz w:val="21"/>
                <w:szCs w:val="21"/>
                <w:highlight w:val="none"/>
              </w:rPr>
            </w:pPr>
            <w:r>
              <w:rPr>
                <w:rFonts w:hint="eastAsia" w:ascii="宋体" w:hAnsi="宋体" w:cs="宋体"/>
                <w:color w:val="auto"/>
                <w:kern w:val="0"/>
                <w:szCs w:val="21"/>
                <w:highlight w:val="none"/>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pPr>
              <w:pStyle w:val="149"/>
              <w:keepNext w:val="0"/>
              <w:keepLines w:val="0"/>
              <w:pageBreakBefore w:val="0"/>
              <w:widowControl w:val="0"/>
              <w:kinsoku/>
              <w:wordWrap/>
              <w:overflowPunct/>
              <w:topLinePunct w:val="0"/>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四、采购人指定的开户银行及账号如下：</w:t>
            </w:r>
          </w:p>
          <w:p>
            <w:pPr>
              <w:keepNext w:val="0"/>
              <w:keepLines w:val="0"/>
              <w:widowControl w:val="0"/>
              <w:suppressLineNumbers w:val="0"/>
              <w:spacing w:before="0" w:beforeAutospacing="0" w:after="0" w:afterAutospacing="0"/>
              <w:ind w:left="0" w:right="0" w:firstLine="420" w:firstLineChars="200"/>
              <w:jc w:val="both"/>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w:t>
            </w:r>
            <w:r>
              <w:rPr>
                <w:rFonts w:hint="eastAsia" w:ascii="宋体" w:hAnsi="宋体" w:eastAsia="宋体" w:cs="宋体"/>
                <w:color w:val="auto"/>
                <w:kern w:val="2"/>
                <w:sz w:val="21"/>
                <w:szCs w:val="21"/>
                <w:highlight w:val="none"/>
                <w:lang w:val="en-US" w:eastAsia="zh-CN" w:bidi="ar-SA"/>
              </w:rPr>
              <w:t>重庆首讯科技股份有限公司数智系统运维分公司</w:t>
            </w:r>
          </w:p>
          <w:p>
            <w:pPr>
              <w:keepNext w:val="0"/>
              <w:keepLines w:val="0"/>
              <w:widowControl w:val="0"/>
              <w:suppressLineNumbers w:val="0"/>
              <w:spacing w:before="0" w:beforeAutospacing="0" w:after="0" w:afterAutospacing="0"/>
              <w:ind w:left="0" w:right="0" w:firstLine="420" w:firstLineChars="200"/>
              <w:jc w:val="both"/>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w:t>
            </w:r>
            <w:r>
              <w:rPr>
                <w:rFonts w:hint="eastAsia" w:ascii="宋体" w:hAnsi="宋体" w:eastAsia="宋体" w:cs="宋体"/>
                <w:color w:val="auto"/>
                <w:kern w:val="2"/>
                <w:sz w:val="21"/>
                <w:szCs w:val="21"/>
                <w:highlight w:val="none"/>
                <w:lang w:val="en-US" w:eastAsia="zh-CN" w:bidi="ar-SA"/>
              </w:rPr>
              <w:t>中信银行重庆冉家坝支行</w:t>
            </w:r>
          </w:p>
          <w:p>
            <w:pPr>
              <w:keepNext w:val="0"/>
              <w:keepLines w:val="0"/>
              <w:widowControl w:val="0"/>
              <w:suppressLineNumbers w:val="0"/>
              <w:spacing w:before="0" w:beforeAutospacing="0" w:after="0" w:afterAutospacing="0"/>
              <w:ind w:left="0" w:right="0" w:firstLine="420" w:firstLineChars="200"/>
              <w:jc w:val="both"/>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w:t>
            </w:r>
            <w:r>
              <w:rPr>
                <w:rFonts w:hint="default" w:ascii="宋体" w:hAnsi="宋体" w:eastAsia="宋体" w:cs="宋体"/>
                <w:color w:val="auto"/>
                <w:kern w:val="2"/>
                <w:sz w:val="21"/>
                <w:szCs w:val="21"/>
                <w:highlight w:val="none"/>
                <w:lang w:val="en-US" w:eastAsia="zh-CN" w:bidi="ar-SA"/>
              </w:rPr>
              <w:t>8111201013400718157</w:t>
            </w:r>
          </w:p>
          <w:p>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olor w:val="auto"/>
                <w:kern w:val="2"/>
                <w:sz w:val="21"/>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sz w:val="21"/>
                <w:szCs w:val="21"/>
                <w:highlight w:val="none"/>
              </w:rPr>
              <w:t>21</w:t>
            </w:r>
          </w:p>
        </w:tc>
        <w:tc>
          <w:tcPr>
            <w:tcW w:w="2106" w:type="dxa"/>
            <w:vAlign w:val="center"/>
          </w:tcPr>
          <w:p>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投标文件的装订、密封及标记</w:t>
            </w:r>
          </w:p>
        </w:tc>
        <w:tc>
          <w:tcPr>
            <w:tcW w:w="7104"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（U盘1份，电子文件内容须包括竞争性比选响应文件全部内容）。当电子文件与纸质版竞争性比选响应文件不一致时，以纸质版竞争性比选响应文件为准，当正本与副本不一致时，以正本为准</w:t>
            </w:r>
            <w:r>
              <w:rPr>
                <w:rFonts w:hint="eastAsia" w:ascii="宋体" w:hAnsi="宋体" w:cs="宋体"/>
                <w:b/>
                <w:bCs/>
                <w:color w:val="auto"/>
                <w:szCs w:val="21"/>
                <w:highlight w:val="none"/>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b/>
                <w:bCs/>
                <w:color w:val="auto"/>
                <w:kern w:val="0"/>
                <w:szCs w:val="21"/>
              </w:rPr>
            </w:pPr>
            <w:r>
              <w:rPr>
                <w:rFonts w:hint="eastAsia" w:ascii="宋体" w:hAnsi="宋体" w:eastAsia="宋体" w:cs="宋体"/>
                <w:color w:val="auto"/>
                <w:szCs w:val="21"/>
                <w:highlight w:val="none"/>
                <w:u w:val="none"/>
                <w:lang w:val="en-US" w:eastAsia="zh-CN"/>
              </w:rPr>
              <w:t>4.</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rPr>
            </w:pPr>
            <w:r>
              <w:rPr>
                <w:rFonts w:hint="eastAsia" w:ascii="宋体" w:hAnsi="宋体" w:cs="宋体"/>
                <w:color w:val="auto"/>
                <w:kern w:val="0"/>
                <w:szCs w:val="21"/>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rPr>
              <w:t>”</w:t>
            </w:r>
            <w:r>
              <w:rPr>
                <w:rFonts w:hint="eastAsia" w:ascii="宋体" w:hAnsi="宋体" w:cs="宋体"/>
                <w:color w:val="auto"/>
                <w:szCs w:val="21"/>
                <w:highlight w:val="none"/>
              </w:rPr>
              <w:t>封袋</w:t>
            </w:r>
            <w:r>
              <w:rPr>
                <w:rFonts w:hint="eastAsia" w:ascii="宋体" w:hAnsi="宋体" w:cs="宋体"/>
                <w:color w:val="auto"/>
                <w:kern w:val="0"/>
                <w:szCs w:val="21"/>
              </w:rPr>
              <w:t>写明以下内容：</w:t>
            </w:r>
          </w:p>
          <w:tbl>
            <w:tblPr>
              <w:tblStyle w:val="42"/>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rPr>
                  </w:pPr>
                  <w:r>
                    <w:rPr>
                      <w:rFonts w:hint="eastAsia" w:ascii="宋体" w:hAnsi="宋体" w:cs="宋体"/>
                      <w:color w:val="auto"/>
                      <w:kern w:val="0"/>
                      <w:szCs w:val="21"/>
                      <w:lang w:eastAsia="zh-CN"/>
                    </w:rPr>
                    <w:t>采购人</w:t>
                  </w:r>
                  <w:r>
                    <w:rPr>
                      <w:rFonts w:hint="eastAsia" w:ascii="宋体" w:hAnsi="宋体" w:cs="宋体"/>
                      <w:color w:val="auto"/>
                      <w:kern w:val="0"/>
                      <w:szCs w:val="21"/>
                    </w:rPr>
                    <w:t>名称：</w:t>
                  </w:r>
                </w:p>
                <w:p>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rPr>
                  </w:pPr>
                  <w:r>
                    <w:rPr>
                      <w:rFonts w:hint="eastAsia" w:ascii="宋体" w:hAnsi="宋体" w:cs="宋体"/>
                      <w:color w:val="auto"/>
                      <w:kern w:val="0"/>
                      <w:szCs w:val="21"/>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rPr>
                    <w:t>文件</w:t>
                  </w:r>
                </w:p>
                <w:p>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rPr>
                  </w:pPr>
                  <w:r>
                    <w:rPr>
                      <w:rFonts w:hint="eastAsia" w:ascii="宋体" w:hAnsi="宋体" w:cs="宋体"/>
                      <w:color w:val="auto"/>
                      <w:kern w:val="0"/>
                      <w:szCs w:val="21"/>
                      <w:lang w:val="en-US" w:eastAsia="zh-CN"/>
                    </w:rPr>
                    <w:t>报价</w:t>
                  </w:r>
                  <w:r>
                    <w:rPr>
                      <w:rFonts w:hint="eastAsia" w:ascii="宋体" w:hAnsi="宋体" w:cs="宋体"/>
                      <w:color w:val="auto"/>
                      <w:kern w:val="0"/>
                      <w:szCs w:val="21"/>
                    </w:rPr>
                    <w:t>人名称：</w:t>
                  </w:r>
                  <w:r>
                    <w:rPr>
                      <w:rFonts w:hint="eastAsia" w:ascii="宋体" w:hAnsi="宋体" w:cs="宋体"/>
                      <w:color w:val="auto"/>
                      <w:kern w:val="0"/>
                      <w:szCs w:val="21"/>
                      <w:u w:val="single"/>
                    </w:rPr>
                    <w:t xml:space="preserve">           </w:t>
                  </w:r>
                  <w:r>
                    <w:rPr>
                      <w:rFonts w:hint="eastAsia" w:ascii="宋体" w:hAnsi="宋体" w:cs="宋体"/>
                      <w:color w:val="auto"/>
                      <w:kern w:val="0"/>
                      <w:szCs w:val="21"/>
                    </w:rPr>
                    <w:t>（加盖</w:t>
                  </w:r>
                  <w:r>
                    <w:rPr>
                      <w:rFonts w:hint="eastAsia" w:ascii="宋体" w:hAnsi="宋体" w:cs="宋体"/>
                      <w:color w:val="auto"/>
                      <w:kern w:val="0"/>
                      <w:szCs w:val="21"/>
                      <w:lang w:val="en-US" w:eastAsia="zh-CN"/>
                    </w:rPr>
                    <w:t>报价</w:t>
                  </w:r>
                  <w:r>
                    <w:rPr>
                      <w:rFonts w:hint="eastAsia" w:ascii="宋体" w:hAnsi="宋体" w:cs="宋体"/>
                      <w:color w:val="auto"/>
                      <w:kern w:val="0"/>
                      <w:szCs w:val="21"/>
                    </w:rPr>
                    <w:t>人单位</w:t>
                  </w:r>
                  <w:r>
                    <w:rPr>
                      <w:rFonts w:hint="eastAsia" w:ascii="宋体" w:hAnsi="宋体" w:cs="宋体"/>
                      <w:color w:val="auto"/>
                      <w:kern w:val="0"/>
                      <w:szCs w:val="21"/>
                      <w:lang w:val="en-US" w:eastAsia="zh-CN"/>
                    </w:rPr>
                    <w:t>公</w:t>
                  </w:r>
                  <w:r>
                    <w:rPr>
                      <w:rFonts w:hint="eastAsia" w:ascii="宋体" w:hAnsi="宋体" w:cs="宋体"/>
                      <w:color w:val="auto"/>
                      <w:kern w:val="0"/>
                      <w:szCs w:val="21"/>
                    </w:rPr>
                    <w:t>章）</w:t>
                  </w:r>
                </w:p>
                <w:p>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rPr>
                  </w:pPr>
                  <w:r>
                    <w:rPr>
                      <w:rFonts w:hint="eastAsia" w:ascii="宋体" w:hAnsi="宋体" w:cs="宋体"/>
                      <w:color w:val="auto"/>
                      <w:kern w:val="0"/>
                      <w:szCs w:val="21"/>
                    </w:rPr>
                    <w:t>在</w:t>
                  </w:r>
                  <w:r>
                    <w:rPr>
                      <w:rFonts w:hint="eastAsia" w:ascii="宋体" w:hAnsi="宋体" w:cs="宋体"/>
                      <w:color w:val="auto"/>
                      <w:szCs w:val="21"/>
                      <w:u w:val="single"/>
                    </w:rPr>
                    <w:t xml:space="preserve">  </w:t>
                  </w:r>
                  <w:r>
                    <w:rPr>
                      <w:rFonts w:hint="eastAsia" w:ascii="宋体" w:hAnsi="宋体" w:cs="宋体"/>
                      <w:color w:val="auto"/>
                      <w:kern w:val="0"/>
                      <w:szCs w:val="21"/>
                    </w:rPr>
                    <w:t>年</w:t>
                  </w:r>
                  <w:r>
                    <w:rPr>
                      <w:rFonts w:hint="eastAsia" w:ascii="宋体" w:hAnsi="宋体" w:cs="宋体"/>
                      <w:color w:val="auto"/>
                      <w:kern w:val="0"/>
                      <w:szCs w:val="21"/>
                      <w:u w:val="single"/>
                    </w:rPr>
                    <w:t xml:space="preserve">  </w:t>
                  </w:r>
                  <w:r>
                    <w:rPr>
                      <w:rFonts w:hint="eastAsia" w:ascii="宋体" w:hAnsi="宋体" w:cs="宋体"/>
                      <w:color w:val="auto"/>
                      <w:kern w:val="0"/>
                      <w:szCs w:val="21"/>
                    </w:rPr>
                    <w:t>月</w:t>
                  </w:r>
                  <w:r>
                    <w:rPr>
                      <w:rFonts w:hint="eastAsia" w:ascii="宋体" w:hAnsi="宋体" w:cs="宋体"/>
                      <w:color w:val="auto"/>
                      <w:kern w:val="0"/>
                      <w:szCs w:val="21"/>
                      <w:u w:val="single"/>
                    </w:rPr>
                    <w:t xml:space="preserve">  </w:t>
                  </w:r>
                  <w:r>
                    <w:rPr>
                      <w:rFonts w:hint="eastAsia" w:ascii="宋体" w:hAnsi="宋体" w:cs="宋体"/>
                      <w:color w:val="auto"/>
                      <w:kern w:val="0"/>
                      <w:szCs w:val="21"/>
                    </w:rPr>
                    <w:t>日</w:t>
                  </w:r>
                  <w:r>
                    <w:rPr>
                      <w:rFonts w:hint="eastAsia" w:ascii="宋体" w:hAnsi="宋体" w:cs="宋体"/>
                      <w:color w:val="auto"/>
                      <w:kern w:val="0"/>
                      <w:szCs w:val="21"/>
                      <w:u w:val="single"/>
                    </w:rPr>
                    <w:t xml:space="preserve">  </w:t>
                  </w:r>
                  <w:r>
                    <w:rPr>
                      <w:rFonts w:hint="eastAsia" w:ascii="宋体" w:hAnsi="宋体" w:cs="宋体"/>
                      <w:color w:val="auto"/>
                      <w:kern w:val="0"/>
                      <w:szCs w:val="21"/>
                    </w:rPr>
                    <w:t>时</w:t>
                  </w:r>
                  <w:r>
                    <w:rPr>
                      <w:rFonts w:hint="eastAsia" w:ascii="宋体" w:hAnsi="宋体" w:cs="宋体"/>
                      <w:color w:val="auto"/>
                      <w:kern w:val="0"/>
                      <w:szCs w:val="21"/>
                      <w:u w:val="single"/>
                    </w:rPr>
                    <w:t xml:space="preserve">  </w:t>
                  </w:r>
                  <w:r>
                    <w:rPr>
                      <w:rFonts w:hint="eastAsia" w:ascii="宋体" w:hAnsi="宋体" w:cs="宋体"/>
                      <w:color w:val="auto"/>
                      <w:kern w:val="0"/>
                      <w:szCs w:val="21"/>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rPr>
                    <w:t>）前不得开启</w:t>
                  </w:r>
                </w:p>
              </w:tc>
            </w:tr>
          </w:tbl>
          <w:p>
            <w:pPr>
              <w:pStyle w:val="149"/>
              <w:keepNext w:val="0"/>
              <w:keepLines w:val="0"/>
              <w:pageBreakBefore w:val="0"/>
              <w:widowControl w:val="0"/>
              <w:kinsoku/>
              <w:wordWrap/>
              <w:overflowPunct/>
              <w:bidi w:val="0"/>
              <w:spacing w:line="400" w:lineRule="exact"/>
              <w:textAlignment w:val="auto"/>
              <w:rPr>
                <w:rFonts w:hint="eastAsia" w:hAnsi="宋体"/>
                <w:b/>
                <w:bCs/>
                <w:color w:val="auto"/>
                <w:kern w:val="2"/>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22</w:t>
            </w:r>
          </w:p>
        </w:tc>
        <w:tc>
          <w:tcPr>
            <w:tcW w:w="2106" w:type="dxa"/>
            <w:vAlign w:val="center"/>
          </w:tcPr>
          <w:p>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监督部门</w:t>
            </w:r>
          </w:p>
        </w:tc>
        <w:tc>
          <w:tcPr>
            <w:tcW w:w="7104" w:type="dxa"/>
            <w:vAlign w:val="center"/>
          </w:tcPr>
          <w:p>
            <w:pPr>
              <w:pStyle w:val="149"/>
              <w:spacing w:line="400" w:lineRule="exact"/>
              <w:ind w:firstLine="420" w:firstLineChars="200"/>
              <w:rPr>
                <w:rFonts w:hAnsi="宋体"/>
                <w:color w:val="auto"/>
                <w:kern w:val="2"/>
                <w:sz w:val="21"/>
                <w:szCs w:val="21"/>
              </w:rPr>
            </w:pPr>
            <w:r>
              <w:rPr>
                <w:rFonts w:hint="eastAsia" w:hAnsi="宋体"/>
                <w:color w:val="auto"/>
                <w:kern w:val="2"/>
                <w:sz w:val="21"/>
                <w:szCs w:val="21"/>
              </w:rPr>
              <w:t>监督部门：</w:t>
            </w:r>
            <w:r>
              <w:rPr>
                <w:rFonts w:hint="eastAsia" w:hAnsi="宋体"/>
                <w:color w:val="auto"/>
                <w:kern w:val="2"/>
                <w:sz w:val="21"/>
                <w:szCs w:val="21"/>
                <w:lang w:eastAsia="zh-CN"/>
              </w:rPr>
              <w:t>重庆首讯科技股份有限公司数智系统运维分公司</w:t>
            </w:r>
            <w:r>
              <w:rPr>
                <w:rFonts w:hint="eastAsia" w:hAnsi="宋体"/>
                <w:color w:val="auto"/>
                <w:kern w:val="2"/>
                <w:sz w:val="21"/>
                <w:szCs w:val="21"/>
                <w:lang w:val="en-US" w:eastAsia="zh-CN"/>
              </w:rPr>
              <w:t>综合管理</w:t>
            </w:r>
            <w:r>
              <w:rPr>
                <w:rFonts w:hint="eastAsia" w:hAnsi="宋体"/>
                <w:color w:val="auto"/>
                <w:kern w:val="2"/>
                <w:sz w:val="21"/>
                <w:szCs w:val="21"/>
              </w:rPr>
              <w:t>部</w:t>
            </w:r>
          </w:p>
          <w:p>
            <w:pPr>
              <w:spacing w:line="400" w:lineRule="exact"/>
              <w:ind w:firstLine="420" w:firstLineChars="200"/>
              <w:rPr>
                <w:rFonts w:hint="eastAsia" w:ascii="宋体" w:hAnsi="宋体" w:cs="宋体"/>
                <w:szCs w:val="21"/>
                <w:lang w:val="en-US" w:eastAsia="zh-CN"/>
              </w:rPr>
            </w:pPr>
            <w:r>
              <w:rPr>
                <w:rFonts w:hint="eastAsia" w:hAnsi="宋体"/>
                <w:color w:val="auto"/>
                <w:kern w:val="2"/>
                <w:sz w:val="21"/>
                <w:szCs w:val="21"/>
              </w:rPr>
              <w:t>地    址：</w:t>
            </w:r>
            <w:r>
              <w:rPr>
                <w:rFonts w:hint="eastAsia" w:ascii="宋体" w:hAnsi="宋体" w:cs="宋体"/>
                <w:szCs w:val="21"/>
              </w:rPr>
              <w:t>重庆市</w:t>
            </w:r>
            <w:r>
              <w:rPr>
                <w:rFonts w:hint="eastAsia" w:ascii="宋体" w:hAnsi="宋体" w:cs="宋体"/>
                <w:szCs w:val="21"/>
                <w:lang w:val="en-US" w:eastAsia="zh-CN"/>
              </w:rPr>
              <w:t>南岸</w:t>
            </w:r>
            <w:r>
              <w:rPr>
                <w:rFonts w:hint="eastAsia" w:ascii="宋体" w:hAnsi="宋体" w:cs="宋体"/>
                <w:szCs w:val="21"/>
              </w:rPr>
              <w:t>区</w:t>
            </w:r>
            <w:r>
              <w:rPr>
                <w:rFonts w:hint="eastAsia" w:ascii="宋体" w:hAnsi="宋体" w:cs="宋体"/>
                <w:szCs w:val="21"/>
                <w:lang w:val="en-US" w:eastAsia="zh-CN"/>
              </w:rPr>
              <w:t>海棠溪</w:t>
            </w:r>
            <w:r>
              <w:rPr>
                <w:rFonts w:hint="eastAsia" w:ascii="宋体" w:hAnsi="宋体" w:cs="宋体"/>
                <w:szCs w:val="21"/>
              </w:rPr>
              <w:t>街道</w:t>
            </w:r>
            <w:r>
              <w:rPr>
                <w:rFonts w:hint="eastAsia" w:ascii="宋体" w:hAnsi="宋体" w:cs="宋体"/>
                <w:szCs w:val="21"/>
                <w:lang w:val="en-US" w:eastAsia="zh-CN"/>
              </w:rPr>
              <w:t>海峡</w:t>
            </w:r>
            <w:r>
              <w:rPr>
                <w:rFonts w:hint="eastAsia" w:ascii="宋体" w:hAnsi="宋体" w:cs="宋体"/>
                <w:szCs w:val="21"/>
              </w:rPr>
              <w:t>路</w:t>
            </w:r>
            <w:r>
              <w:rPr>
                <w:rFonts w:hint="eastAsia" w:ascii="宋体" w:hAnsi="宋体" w:cs="宋体"/>
                <w:szCs w:val="21"/>
                <w:lang w:val="en-US" w:eastAsia="zh-CN"/>
              </w:rPr>
              <w:t>重庆首讯科技股份有限公司</w:t>
            </w:r>
            <w:r>
              <w:rPr>
                <w:rFonts w:hint="eastAsia" w:ascii="宋体" w:hAnsi="宋体" w:cs="宋体"/>
                <w:szCs w:val="21"/>
              </w:rPr>
              <w:t>三楼</w:t>
            </w:r>
          </w:p>
          <w:p>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sz w:val="21"/>
                <w:szCs w:val="21"/>
                <w:highlight w:val="none"/>
              </w:rPr>
            </w:pPr>
            <w:r>
              <w:rPr>
                <w:rFonts w:hint="eastAsia" w:hAnsi="宋体"/>
                <w:color w:val="auto"/>
                <w:kern w:val="2"/>
                <w:sz w:val="21"/>
                <w:szCs w:val="21"/>
              </w:rPr>
              <w:t>电    话：023-86325020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sz w:val="21"/>
                <w:szCs w:val="21"/>
                <w:highlight w:val="none"/>
                <w:lang w:val="en-US" w:eastAsia="zh-CN"/>
              </w:rPr>
              <w:t>23</w:t>
            </w:r>
          </w:p>
        </w:tc>
        <w:tc>
          <w:tcPr>
            <w:tcW w:w="2106" w:type="dxa"/>
            <w:vAlign w:val="center"/>
          </w:tcPr>
          <w:p>
            <w:pPr>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7104" w:type="dxa"/>
            <w:vAlign w:val="center"/>
          </w:tcPr>
          <w:p>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上进行公示，公示期为3日。公示内容包括中标候选人名称、排序、投标报价；提出异议、投诉的渠道和方式。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pStyle w:val="149"/>
              <w:keepNext w:val="0"/>
              <w:keepLines w:val="0"/>
              <w:pageBreakBefore w:val="0"/>
              <w:kinsoku/>
              <w:wordWrap/>
              <w:overflowPunct/>
              <w:bidi w:val="0"/>
              <w:spacing w:line="400" w:lineRule="exact"/>
              <w:jc w:val="center"/>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24</w:t>
            </w:r>
          </w:p>
        </w:tc>
        <w:tc>
          <w:tcPr>
            <w:tcW w:w="2106" w:type="dxa"/>
            <w:vAlign w:val="center"/>
          </w:tcPr>
          <w:p>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确定中标人</w:t>
            </w:r>
          </w:p>
        </w:tc>
        <w:tc>
          <w:tcPr>
            <w:tcW w:w="7104" w:type="dxa"/>
            <w:vAlign w:val="center"/>
          </w:tcPr>
          <w:p>
            <w:pPr>
              <w:keepNext w:val="0"/>
              <w:keepLines w:val="0"/>
              <w:pageBreakBefore w:val="0"/>
              <w:kinsoku/>
              <w:wordWrap w:val="0"/>
              <w:overflowPunct/>
              <w:topLinePunct w:val="0"/>
              <w:bidi w:val="0"/>
              <w:spacing w:line="400" w:lineRule="exact"/>
              <w:ind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要求提交履约保证金，或者被查实存在影响中标结果的违法行为等情形，不符合中标条件的，</w:t>
            </w:r>
            <w:r>
              <w:rPr>
                <w:rFonts w:hint="eastAsia" w:ascii="宋体" w:hAnsi="宋体" w:cs="宋体"/>
                <w:b w:val="0"/>
                <w:color w:val="auto"/>
                <w:sz w:val="21"/>
                <w:szCs w:val="21"/>
                <w:highlight w:val="none"/>
                <w:lang w:val="en-US" w:eastAsia="zh-CN"/>
              </w:rPr>
              <w:t>采购</w:t>
            </w:r>
            <w:r>
              <w:rPr>
                <w:rFonts w:hint="eastAsia" w:ascii="宋体" w:hAnsi="宋体" w:eastAsia="宋体" w:cs="宋体"/>
                <w:b w:val="0"/>
                <w:color w:val="auto"/>
                <w:sz w:val="21"/>
                <w:szCs w:val="21"/>
                <w:highlight w:val="none"/>
              </w:rPr>
              <w:t>人可以按照评标委员会提出的中标候选人名单排序依次确定其他中标候选人为中标人，也可以重新招标。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pStyle w:val="149"/>
              <w:keepNext w:val="0"/>
              <w:keepLines w:val="0"/>
              <w:pageBreakBefore w:val="0"/>
              <w:kinsoku/>
              <w:wordWrap/>
              <w:overflowPunct/>
              <w:bidi w:val="0"/>
              <w:spacing w:line="400" w:lineRule="exact"/>
              <w:jc w:val="center"/>
              <w:textAlignment w:val="auto"/>
              <w:rPr>
                <w:rFonts w:hint="eastAsia" w:hAnsi="宋体" w:cs="宋体"/>
                <w:color w:val="auto"/>
                <w:sz w:val="21"/>
                <w:szCs w:val="21"/>
                <w:highlight w:val="none"/>
                <w:lang w:val="en-US" w:eastAsia="zh-CN"/>
              </w:rPr>
            </w:pPr>
            <w:r>
              <w:rPr>
                <w:rFonts w:hint="eastAsia" w:hAnsi="宋体"/>
                <w:color w:val="auto"/>
                <w:kern w:val="2"/>
                <w:sz w:val="21"/>
                <w:szCs w:val="21"/>
                <w:highlight w:val="none"/>
                <w:lang w:val="en-US" w:eastAsia="zh-CN"/>
              </w:rPr>
              <w:t>25</w:t>
            </w:r>
          </w:p>
        </w:tc>
        <w:tc>
          <w:tcPr>
            <w:tcW w:w="2106" w:type="dxa"/>
            <w:vAlign w:val="center"/>
          </w:tcPr>
          <w:p>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乙方违约的处理</w:t>
            </w:r>
          </w:p>
        </w:tc>
        <w:tc>
          <w:tcPr>
            <w:tcW w:w="7104" w:type="dxa"/>
            <w:vAlign w:val="center"/>
          </w:tcPr>
          <w:p>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1.乙方应在所规定的时间内完成和交付。如乙方未履行义务，应当向甲方支付违约金，违约金以及其它相关处罚的具体确定方式以及金额依照</w:t>
            </w:r>
            <w:r>
              <w:rPr>
                <w:rFonts w:hint="eastAsia" w:ascii="宋体" w:hAnsi="宋体" w:cs="宋体"/>
                <w:b w:val="0"/>
                <w:color w:val="auto"/>
                <w:sz w:val="21"/>
                <w:szCs w:val="21"/>
                <w:highlight w:val="none"/>
                <w:lang w:val="en-US" w:eastAsia="zh-CN"/>
              </w:rPr>
              <w:t>合同</w:t>
            </w:r>
            <w:r>
              <w:rPr>
                <w:rFonts w:hint="eastAsia" w:ascii="宋体" w:hAnsi="宋体" w:eastAsia="宋体" w:cs="宋体"/>
                <w:b w:val="0"/>
                <w:color w:val="auto"/>
                <w:sz w:val="21"/>
                <w:szCs w:val="21"/>
                <w:highlight w:val="none"/>
              </w:rPr>
              <w:t>附件一执行，每结算季度中产生的违约金在当期结算金额中直接扣除。</w:t>
            </w:r>
          </w:p>
          <w:p>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2.如因乙方服务人员造成甲方损失且违约金不足以弥补的，乙方还必须对造成的损失按实际情况进行赔偿（具体赔偿金额可由甲乙双方认可的第三方评估机构进行实际评估计算）。</w:t>
            </w:r>
          </w:p>
          <w:p>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3</w:t>
            </w:r>
            <w:r>
              <w:rPr>
                <w:rFonts w:hint="eastAsia" w:ascii="宋体" w:hAnsi="宋体" w:eastAsia="宋体" w:cs="宋体"/>
                <w:b w:val="0"/>
                <w:color w:val="auto"/>
                <w:sz w:val="21"/>
                <w:szCs w:val="21"/>
                <w:highlight w:val="none"/>
              </w:rPr>
              <w:t>.任何一方违反本合同所规定的保密义务，违约方应按约定支付违约金。如实际损失超过该违约金的，受损失一方有权要求对方赔偿超过部分。</w:t>
            </w:r>
          </w:p>
          <w:p>
            <w:pPr>
              <w:keepNext w:val="0"/>
              <w:keepLines w:val="0"/>
              <w:pageBreakBefore w:val="0"/>
              <w:kinsoku/>
              <w:wordWrap w:val="0"/>
              <w:overflowPunct/>
              <w:topLinePunct w:val="0"/>
              <w:bidi w:val="0"/>
              <w:spacing w:line="400" w:lineRule="exact"/>
              <w:ind w:left="0" w:leftChars="0" w:firstLine="420" w:firstLineChars="200"/>
              <w:textAlignment w:val="auto"/>
              <w:rPr>
                <w:rFonts w:hint="default" w:ascii="Wonder Arial" w:hAnsi="Wonder Arial" w:eastAsia="方正仿宋_GB2312" w:cs="Wonder Arial"/>
                <w:b w:val="0"/>
                <w:color w:val="auto"/>
                <w:sz w:val="21"/>
                <w:szCs w:val="21"/>
                <w:highlight w:val="none"/>
              </w:rPr>
            </w:pPr>
            <w:r>
              <w:rPr>
                <w:rFonts w:hint="eastAsia" w:ascii="宋体" w:hAnsi="宋体" w:cs="宋体"/>
                <w:b w:val="0"/>
                <w:color w:val="auto"/>
                <w:sz w:val="21"/>
                <w:szCs w:val="21"/>
                <w:highlight w:val="none"/>
                <w:lang w:val="en-US" w:eastAsia="zh-CN"/>
              </w:rPr>
              <w:t>4</w:t>
            </w:r>
            <w:r>
              <w:rPr>
                <w:rFonts w:hint="eastAsia" w:ascii="宋体" w:hAnsi="宋体" w:eastAsia="宋体" w:cs="宋体"/>
                <w:b w:val="0"/>
                <w:color w:val="auto"/>
                <w:sz w:val="21"/>
                <w:szCs w:val="21"/>
                <w:highlight w:val="none"/>
              </w:rPr>
              <w:t>.甲方有权对乙方提供的服务进行定期检查，若乙方未满足要求，每发现一次，乙方应向甲方支付2000元/次的违约金。</w:t>
            </w:r>
          </w:p>
          <w:p>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5</w:t>
            </w:r>
            <w:r>
              <w:rPr>
                <w:rFonts w:hint="eastAsia" w:ascii="宋体" w:hAnsi="宋体" w:eastAsia="宋体" w:cs="宋体"/>
                <w:b w:val="0"/>
                <w:color w:val="auto"/>
                <w:sz w:val="21"/>
                <w:szCs w:val="21"/>
                <w:highlight w:val="none"/>
              </w:rPr>
              <w:t>.任何一方违反本合同所规定的其他义务，除本合同另有约定外，违约方按合同总价的5%向对方支付违约金。</w:t>
            </w:r>
          </w:p>
          <w:p>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6</w:t>
            </w:r>
            <w:r>
              <w:rPr>
                <w:rFonts w:hint="eastAsia" w:ascii="宋体" w:hAnsi="宋体" w:eastAsia="宋体" w:cs="宋体"/>
                <w:b w:val="0"/>
                <w:color w:val="auto"/>
                <w:sz w:val="21"/>
                <w:szCs w:val="21"/>
                <w:highlight w:val="none"/>
              </w:rPr>
              <w:t>.按本合同赔偿的违约金应在15个工作日内付清，否则，按逾期付款处理，即每迟延一日按欠付金额的0.03%支付违约金。</w:t>
            </w:r>
          </w:p>
          <w:p>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7</w:t>
            </w:r>
            <w:r>
              <w:rPr>
                <w:rFonts w:hint="eastAsia" w:ascii="宋体" w:hAnsi="宋体" w:eastAsia="宋体" w:cs="宋体"/>
                <w:b w:val="0"/>
                <w:color w:val="auto"/>
                <w:sz w:val="21"/>
                <w:szCs w:val="21"/>
                <w:highlight w:val="none"/>
              </w:rPr>
              <w:t>.以上涉及违约金或罚款的，应先扣除履约保证金，直至履约保证金扣除完后，在</w:t>
            </w:r>
            <w:r>
              <w:rPr>
                <w:rFonts w:hint="eastAsia" w:ascii="宋体" w:hAnsi="宋体" w:cs="宋体"/>
                <w:b w:val="0"/>
                <w:color w:val="auto"/>
                <w:sz w:val="21"/>
                <w:szCs w:val="21"/>
                <w:highlight w:val="none"/>
                <w:lang w:val="en-US" w:eastAsia="zh-CN"/>
              </w:rPr>
              <w:t>进度款中</w:t>
            </w:r>
            <w:r>
              <w:rPr>
                <w:rFonts w:hint="eastAsia" w:ascii="宋体" w:hAnsi="宋体" w:eastAsia="宋体" w:cs="宋体"/>
                <w:b w:val="0"/>
                <w:color w:val="auto"/>
                <w:sz w:val="21"/>
                <w:szCs w:val="21"/>
                <w:highlight w:val="none"/>
              </w:rPr>
              <w:t>扣除。</w:t>
            </w:r>
          </w:p>
          <w:p>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8</w:t>
            </w:r>
            <w:r>
              <w:rPr>
                <w:rFonts w:hint="eastAsia" w:ascii="宋体" w:hAnsi="宋体" w:eastAsia="宋体" w:cs="宋体"/>
                <w:b w:val="0"/>
                <w:color w:val="auto"/>
                <w:sz w:val="21"/>
                <w:szCs w:val="21"/>
                <w:highlight w:val="none"/>
              </w:rPr>
              <w:t>.因乙方服务人员造成甲方损失，乙方除应当负责配合甲方解决之外，还应当承担由此给甲方造成的一切损失。本义务不随本合同履行期限届满而结束。</w:t>
            </w:r>
          </w:p>
          <w:p>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9</w:t>
            </w:r>
            <w:r>
              <w:rPr>
                <w:rFonts w:hint="eastAsia" w:ascii="宋体" w:hAnsi="宋体" w:eastAsia="宋体" w:cs="宋体"/>
                <w:b w:val="0"/>
                <w:color w:val="auto"/>
                <w:sz w:val="21"/>
                <w:szCs w:val="21"/>
                <w:highlight w:val="none"/>
              </w:rPr>
              <w:t>.因履行合同而发生的一切安全保障责任、人身伤亡事故及造成的损失均由乙方承担。</w:t>
            </w:r>
          </w:p>
          <w:p>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10</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pStyle w:val="149"/>
              <w:keepNext w:val="0"/>
              <w:keepLines w:val="0"/>
              <w:pageBreakBefore w:val="0"/>
              <w:widowControl w:val="0"/>
              <w:kinsoku/>
              <w:wordWrap/>
              <w:overflowPunct/>
              <w:bidi w:val="0"/>
              <w:spacing w:line="400" w:lineRule="exact"/>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26</w:t>
            </w:r>
          </w:p>
        </w:tc>
        <w:tc>
          <w:tcPr>
            <w:tcW w:w="9210" w:type="dxa"/>
            <w:gridSpan w:val="2"/>
            <w:vAlign w:val="center"/>
          </w:tcPr>
          <w:p>
            <w:pPr>
              <w:pStyle w:val="149"/>
              <w:keepNext w:val="0"/>
              <w:keepLines w:val="0"/>
              <w:pageBreakBefore w:val="0"/>
              <w:widowControl w:val="0"/>
              <w:kinsoku/>
              <w:wordWrap/>
              <w:overflowPunct/>
              <w:bidi w:val="0"/>
              <w:spacing w:line="400" w:lineRule="exact"/>
              <w:ind w:firstLine="482" w:firstLineChars="200"/>
              <w:jc w:val="center"/>
              <w:textAlignment w:val="auto"/>
              <w:rPr>
                <w:rFonts w:hAnsi="宋体"/>
                <w:color w:val="auto"/>
                <w:kern w:val="2"/>
                <w:sz w:val="21"/>
                <w:szCs w:val="21"/>
                <w:highlight w:val="none"/>
              </w:rPr>
            </w:pPr>
            <w:r>
              <w:rPr>
                <w:rFonts w:hAnsi="宋体"/>
                <w:b/>
                <w:bCs/>
                <w:color w:val="auto"/>
                <w:szCs w:val="21"/>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6</w:t>
            </w:r>
            <w:r>
              <w:rPr>
                <w:rFonts w:hint="eastAsia" w:hAnsi="宋体"/>
                <w:color w:val="auto"/>
                <w:kern w:val="2"/>
                <w:sz w:val="21"/>
                <w:szCs w:val="21"/>
                <w:highlight w:val="none"/>
              </w:rPr>
              <w:t>.1</w:t>
            </w:r>
          </w:p>
        </w:tc>
        <w:tc>
          <w:tcPr>
            <w:tcW w:w="9210" w:type="dxa"/>
            <w:gridSpan w:val="2"/>
            <w:vAlign w:val="center"/>
          </w:tcPr>
          <w:p>
            <w:pPr>
              <w:pStyle w:val="149"/>
              <w:keepNext w:val="0"/>
              <w:keepLines w:val="0"/>
              <w:pageBreakBefore w:val="0"/>
              <w:widowControl w:val="0"/>
              <w:kinsoku/>
              <w:wordWrap/>
              <w:overflowPunct/>
              <w:bidi w:val="0"/>
              <w:spacing w:line="400" w:lineRule="exact"/>
              <w:ind w:firstLine="420" w:firstLineChars="200"/>
              <w:textAlignment w:val="auto"/>
              <w:rPr>
                <w:rFonts w:hAnsi="宋体"/>
                <w:b/>
                <w:bCs/>
                <w:color w:val="auto"/>
                <w:szCs w:val="21"/>
                <w:highlight w:val="none"/>
              </w:rPr>
            </w:pPr>
            <w:r>
              <w:rPr>
                <w:rFonts w:hint="eastAsia" w:hAnsi="宋体"/>
                <w:color w:val="auto"/>
                <w:sz w:val="21"/>
                <w:szCs w:val="21"/>
                <w:highlight w:val="none"/>
              </w:rPr>
              <w:t>截止竞争性比选响应文件递交时间，递交竞争性比选响应文件</w:t>
            </w:r>
            <w:r>
              <w:rPr>
                <w:rFonts w:hint="eastAsia" w:hAnsi="宋体"/>
                <w:color w:val="auto"/>
                <w:sz w:val="21"/>
                <w:szCs w:val="21"/>
                <w:highlight w:val="none"/>
                <w:lang w:val="en-US" w:eastAsia="zh-CN"/>
              </w:rPr>
              <w:t>每标段</w:t>
            </w:r>
            <w:r>
              <w:rPr>
                <w:rFonts w:hint="eastAsia" w:hAnsi="宋体"/>
                <w:color w:val="auto"/>
                <w:sz w:val="21"/>
                <w:szCs w:val="21"/>
                <w:highlight w:val="none"/>
              </w:rPr>
              <w:t>不足3家的不得开启竞争性比选文件。重新招标后</w:t>
            </w:r>
            <w:r>
              <w:rPr>
                <w:rFonts w:hint="eastAsia" w:hAnsi="宋体"/>
                <w:color w:val="auto"/>
                <w:sz w:val="21"/>
                <w:szCs w:val="21"/>
                <w:highlight w:val="none"/>
                <w:lang w:val="en-US" w:eastAsia="zh-CN"/>
              </w:rPr>
              <w:t>每标段</w:t>
            </w:r>
            <w:r>
              <w:rPr>
                <w:rFonts w:hint="eastAsia" w:hAnsi="宋体"/>
                <w:color w:val="auto"/>
                <w:sz w:val="21"/>
                <w:szCs w:val="21"/>
                <w:highlight w:val="none"/>
              </w:rPr>
              <w:t>报价人仍少于3个，按法定程序开标和评标，确定中标人。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26</w:t>
            </w:r>
            <w:r>
              <w:rPr>
                <w:rFonts w:hint="eastAsia" w:hAnsi="宋体" w:cs="宋体"/>
                <w:color w:val="auto"/>
                <w:kern w:val="2"/>
                <w:sz w:val="21"/>
                <w:szCs w:val="21"/>
                <w:highlight w:val="none"/>
                <w:lang w:val="en-US" w:eastAsia="zh-CN"/>
              </w:rPr>
              <w:t>.2</w:t>
            </w:r>
          </w:p>
        </w:tc>
        <w:tc>
          <w:tcPr>
            <w:tcW w:w="9210" w:type="dxa"/>
            <w:gridSpan w:val="2"/>
            <w:vAlign w:val="center"/>
          </w:tcPr>
          <w:p>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kern w:val="2"/>
                <w:sz w:val="21"/>
                <w:szCs w:val="21"/>
                <w:highlight w:val="none"/>
                <w:lang w:val="en-US" w:eastAsia="zh-CN"/>
              </w:rPr>
              <w:t>26.3</w:t>
            </w:r>
          </w:p>
        </w:tc>
        <w:tc>
          <w:tcPr>
            <w:tcW w:w="9210" w:type="dxa"/>
            <w:gridSpan w:val="2"/>
            <w:vAlign w:val="center"/>
          </w:tcPr>
          <w:p>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在报价时应充分考虑人工费用上涨、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期内不得调整。</w:t>
            </w:r>
          </w:p>
          <w:p>
            <w:pPr>
              <w:pStyle w:val="149"/>
              <w:keepNext w:val="0"/>
              <w:keepLines w:val="0"/>
              <w:pageBreakBefore w:val="0"/>
              <w:kinsoku/>
              <w:wordWrap/>
              <w:overflowPunct/>
              <w:bidi w:val="0"/>
              <w:spacing w:line="400" w:lineRule="exact"/>
              <w:ind w:firstLine="420" w:firstLineChars="200"/>
              <w:jc w:val="both"/>
              <w:textAlignment w:val="auto"/>
              <w:rPr>
                <w:rFonts w:hint="eastAsia" w:hAnsi="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26.4</w:t>
            </w:r>
          </w:p>
        </w:tc>
        <w:tc>
          <w:tcPr>
            <w:tcW w:w="9210" w:type="dxa"/>
            <w:gridSpan w:val="2"/>
            <w:vAlign w:val="center"/>
          </w:tcPr>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完全响应竞争性比选文件中的人员要求、响应内容要求、报价要求、</w:t>
            </w:r>
            <w:r>
              <w:rPr>
                <w:rFonts w:hint="eastAsia" w:ascii="宋体" w:hAnsi="宋体" w:cs="宋体"/>
                <w:color w:val="auto"/>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cs="宋体"/>
                <w:color w:val="auto"/>
                <w:sz w:val="21"/>
                <w:szCs w:val="21"/>
                <w:highlight w:val="none"/>
                <w:lang w:val="en-US" w:eastAsia="zh-CN"/>
              </w:rPr>
            </w:pPr>
            <w:r>
              <w:rPr>
                <w:rFonts w:hint="eastAsia" w:hAnsi="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5.报价人须承诺完全服从采购人《合格供方库管理办法》（详见相关附件）的管理要求，对出现进度、质量、服务及违规问题的供应商，视违规行为的具体情形、情节轻重和危害程度，采购人可依据《合格供方库管理办法》给予暂停合格供应商资格、终止合格供应商资格、永久取消合格供应商资格（列入诚信黑名单）等处理。</w:t>
            </w:r>
          </w:p>
          <w:p>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监督部门对本次竞争性比选活动的监督，积极配合相关工作，如实提供所需信息和资料。</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26.5</w:t>
            </w:r>
          </w:p>
        </w:tc>
        <w:tc>
          <w:tcPr>
            <w:tcW w:w="9210" w:type="dxa"/>
            <w:gridSpan w:val="2"/>
            <w:vAlign w:val="center"/>
          </w:tcPr>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bookmarkEnd w:id="108"/>
    </w:tbl>
    <w:p>
      <w:pPr>
        <w:rPr>
          <w:color w:val="auto"/>
          <w:highlight w:val="none"/>
        </w:rPr>
      </w:pPr>
    </w:p>
    <w:p>
      <w:pPr>
        <w:spacing w:line="360" w:lineRule="auto"/>
        <w:jc w:val="center"/>
        <w:rPr>
          <w:rFonts w:ascii="宋体" w:hAnsi="宋体" w:cs="宋体"/>
          <w:b/>
          <w:color w:val="auto"/>
          <w:sz w:val="28"/>
          <w:szCs w:val="28"/>
          <w:highlight w:val="none"/>
        </w:rPr>
        <w:sectPr>
          <w:headerReference r:id="rId7" w:type="default"/>
          <w:footerReference r:id="rId8" w:type="default"/>
          <w:pgSz w:w="11906" w:h="16838"/>
          <w:pgMar w:top="1440" w:right="1803" w:bottom="1440" w:left="1803" w:header="851" w:footer="992" w:gutter="0"/>
          <w:pgNumType w:start="1"/>
          <w:cols w:space="720" w:num="1"/>
          <w:docGrid w:type="lines" w:linePitch="312" w:charSpace="0"/>
        </w:sectPr>
      </w:pPr>
      <w:bookmarkStart w:id="113" w:name="_Hlt227984024"/>
      <w:bookmarkEnd w:id="113"/>
    </w:p>
    <w:p>
      <w:pPr>
        <w:pStyle w:val="4"/>
        <w:jc w:val="center"/>
        <w:rPr>
          <w:rFonts w:ascii="宋体" w:hAnsi="宋体" w:eastAsia="宋体" w:cs="宋体"/>
          <w:bCs w:val="0"/>
          <w:color w:val="auto"/>
          <w:sz w:val="28"/>
          <w:szCs w:val="28"/>
          <w:highlight w:val="none"/>
        </w:rPr>
      </w:pPr>
      <w:bookmarkStart w:id="114" w:name="_Toc11284"/>
      <w:bookmarkStart w:id="115" w:name="_Toc30198"/>
      <w:bookmarkStart w:id="116" w:name="_Toc17532"/>
      <w:bookmarkStart w:id="117" w:name="_Toc11329222"/>
      <w:bookmarkStart w:id="118" w:name="_Toc6693"/>
      <w:r>
        <w:rPr>
          <w:rFonts w:hint="eastAsia" w:ascii="宋体" w:hAnsi="宋体" w:eastAsia="宋体" w:cs="宋体"/>
          <w:color w:val="auto"/>
          <w:sz w:val="28"/>
          <w:szCs w:val="28"/>
          <w:highlight w:val="none"/>
        </w:rPr>
        <w:t xml:space="preserve">附录1  </w:t>
      </w:r>
      <w:bookmarkEnd w:id="114"/>
      <w:bookmarkEnd w:id="115"/>
      <w:bookmarkEnd w:id="116"/>
      <w:bookmarkEnd w:id="117"/>
      <w:bookmarkStart w:id="119" w:name="_Toc25591"/>
      <w:bookmarkStart w:id="120" w:name="_Toc11329226"/>
      <w:bookmarkStart w:id="121" w:name="_Toc12773"/>
      <w:bookmarkStart w:id="122" w:name="_Toc27096"/>
      <w:r>
        <w:rPr>
          <w:rFonts w:hint="eastAsia" w:ascii="宋体" w:hAnsi="宋体" w:eastAsia="宋体" w:cs="宋体"/>
          <w:bCs w:val="0"/>
          <w:color w:val="auto"/>
          <w:sz w:val="28"/>
          <w:szCs w:val="28"/>
          <w:highlight w:val="none"/>
        </w:rPr>
        <w:t>报价人资格要求</w:t>
      </w:r>
      <w:bookmarkEnd w:id="118"/>
      <w:bookmarkEnd w:id="119"/>
      <w:bookmarkEnd w:id="120"/>
      <w:bookmarkEnd w:id="121"/>
      <w:bookmarkEnd w:id="122"/>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571"/>
        <w:gridCol w:w="6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bookmarkStart w:id="123" w:name="_Toc388534043"/>
            <w:bookmarkStart w:id="124" w:name="_Toc387234996"/>
            <w:r>
              <w:rPr>
                <w:rFonts w:hint="eastAsia" w:ascii="宋体" w:hAnsi="宋体" w:cs="宋体"/>
                <w:color w:val="auto"/>
                <w:szCs w:val="21"/>
                <w:highlight w:val="none"/>
              </w:rPr>
              <w:t>序号</w:t>
            </w:r>
          </w:p>
        </w:tc>
        <w:tc>
          <w:tcPr>
            <w:tcW w:w="15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67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5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资质要求</w:t>
            </w:r>
          </w:p>
        </w:tc>
        <w:tc>
          <w:tcPr>
            <w:tcW w:w="6678" w:type="dxa"/>
            <w:tcBorders>
              <w:top w:val="single" w:color="auto" w:sz="4" w:space="0"/>
              <w:left w:val="single" w:color="auto" w:sz="4" w:space="0"/>
              <w:bottom w:val="single" w:color="auto" w:sz="4" w:space="0"/>
              <w:right w:val="single" w:color="auto" w:sz="4" w:space="0"/>
            </w:tcBorders>
            <w:vAlign w:val="center"/>
          </w:tcPr>
          <w:p>
            <w:pPr>
              <w:tabs>
                <w:tab w:val="left" w:pos="1035"/>
              </w:tabs>
              <w:spacing w:line="240" w:lineRule="auto"/>
              <w:ind w:firstLine="420" w:firstLineChars="200"/>
              <w:jc w:val="left"/>
              <w:rPr>
                <w:rFonts w:hint="eastAsia"/>
                <w:lang w:val="en-US" w:eastAsia="zh-CN"/>
              </w:rPr>
            </w:pPr>
            <w:r>
              <w:rPr>
                <w:rFonts w:hint="eastAsia"/>
                <w:lang w:val="en-US" w:eastAsia="zh-CN"/>
              </w:rPr>
              <w:t>1、具有独立法人资格；</w:t>
            </w:r>
          </w:p>
          <w:p>
            <w:pPr>
              <w:tabs>
                <w:tab w:val="left" w:pos="1035"/>
              </w:tabs>
              <w:spacing w:line="240" w:lineRule="auto"/>
              <w:ind w:firstLine="420" w:firstLineChars="200"/>
              <w:jc w:val="left"/>
              <w:rPr>
                <w:rFonts w:hint="eastAsia"/>
                <w:lang w:val="en-US" w:eastAsia="zh-CN"/>
              </w:rPr>
            </w:pPr>
            <w:r>
              <w:rPr>
                <w:rFonts w:hint="eastAsia"/>
                <w:lang w:val="en-US" w:eastAsia="zh-CN"/>
              </w:rPr>
              <w:t>2、具有有效的营业执照；</w:t>
            </w:r>
          </w:p>
          <w:p>
            <w:pPr>
              <w:tabs>
                <w:tab w:val="left" w:pos="1035"/>
              </w:tabs>
              <w:spacing w:line="240" w:lineRule="auto"/>
              <w:ind w:firstLine="420" w:firstLineChars="200"/>
              <w:jc w:val="left"/>
              <w:rPr>
                <w:rFonts w:ascii="宋体" w:hAnsi="宋体" w:cs="宋体"/>
                <w:color w:val="auto"/>
                <w:szCs w:val="21"/>
                <w:highlight w:val="none"/>
              </w:rPr>
            </w:pPr>
            <w:r>
              <w:rPr>
                <w:rFonts w:hint="eastAsia"/>
                <w:lang w:val="en-US" w:eastAsia="zh-CN"/>
              </w:rPr>
              <w:t>3、具有二类汽车维修资质（需具备维修本项目所有车型资质及条件）；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5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业绩要求</w:t>
            </w:r>
          </w:p>
        </w:tc>
        <w:tc>
          <w:tcPr>
            <w:tcW w:w="667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宋体" w:hAnsi="宋体" w:cs="宋体"/>
                <w:color w:val="auto"/>
                <w:szCs w:val="21"/>
                <w:highlight w:val="none"/>
                <w:shd w:val="clear" w:color="auto" w:fill="FFFFFF"/>
              </w:rPr>
            </w:pPr>
            <w:r>
              <w:rPr>
                <w:rFonts w:hint="eastAsia"/>
                <w:lang w:val="en-US" w:eastAsia="zh-CN"/>
              </w:rPr>
              <w:t>2022年1月1日至报价截止日期（以合同签订时间为准）至少具有一个合同金额在13万元及以上的车辆保养或维修服务等相关服务的业绩（提供合同扫描件）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5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67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宋体" w:hAnsi="宋体" w:eastAsia="宋体" w:cs="宋体"/>
                <w:color w:val="auto"/>
                <w:sz w:val="21"/>
                <w:szCs w:val="21"/>
                <w:highlight w:val="yellow"/>
                <w:lang w:val="en-US" w:eastAsia="zh-CN"/>
              </w:rPr>
            </w:pPr>
            <w:r>
              <w:rPr>
                <w:rFonts w:hint="eastAsia" w:ascii="Times New Roman" w:hAnsi="Times New Roman" w:eastAsia="宋体" w:cs="Times New Roman"/>
                <w:lang w:val="en-US" w:eastAsia="zh-CN"/>
              </w:rPr>
              <w:t>满足项目需求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5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678"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宋体" w:hAnsi="宋体" w:eastAsia="宋体" w:cs="宋体"/>
                <w:color w:val="auto"/>
                <w:sz w:val="21"/>
                <w:szCs w:val="21"/>
                <w:highlight w:val="yellow"/>
                <w:lang w:val="en-US" w:eastAsia="zh-CN"/>
              </w:rPr>
            </w:pPr>
            <w:r>
              <w:rPr>
                <w:rFonts w:hint="eastAsia" w:ascii="Times New Roman" w:hAnsi="Times New Roman" w:eastAsia="宋体" w:cs="Times New Roman"/>
                <w:lang w:val="en-US" w:eastAsia="zh-CN"/>
              </w:rPr>
              <w:t>满足项目需求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5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信誉要求</w:t>
            </w:r>
          </w:p>
        </w:tc>
        <w:tc>
          <w:tcPr>
            <w:tcW w:w="66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w:t>
      </w:r>
      <w:r>
        <w:rPr>
          <w:rFonts w:hint="eastAsia" w:hAnsi="宋体"/>
          <w:b/>
          <w:bCs/>
          <w:color w:val="auto"/>
          <w:kern w:val="0"/>
          <w:szCs w:val="21"/>
          <w:highlight w:val="none"/>
        </w:rPr>
        <w:t>1.提供公司营业执照复印件，并加盖单位公章。</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pPr>
        <w:pStyle w:val="28"/>
        <w:rPr>
          <w:color w:val="auto"/>
          <w:highlight w:val="none"/>
        </w:rPr>
      </w:pPr>
    </w:p>
    <w:bookmarkEnd w:id="123"/>
    <w:bookmarkEnd w:id="124"/>
    <w:p>
      <w:pPr>
        <w:spacing w:line="440" w:lineRule="exact"/>
        <w:ind w:firstLine="210" w:firstLineChars="100"/>
        <w:rPr>
          <w:rFonts w:ascii="宋体" w:hAnsi="宋体" w:cs="宋体"/>
          <w:color w:val="auto"/>
          <w:highlight w:val="none"/>
        </w:rPr>
      </w:pPr>
    </w:p>
    <w:p>
      <w:pPr>
        <w:pStyle w:val="2"/>
        <w:rPr>
          <w:rFonts w:ascii="宋体" w:hAnsi="宋体" w:cs="宋体"/>
          <w:color w:val="auto"/>
          <w:highlight w:val="none"/>
        </w:rPr>
      </w:pPr>
    </w:p>
    <w:p>
      <w:pPr>
        <w:rPr>
          <w:rFonts w:ascii="宋体" w:hAnsi="宋体" w:cs="宋体"/>
          <w:color w:val="auto"/>
          <w:highlight w:val="none"/>
        </w:rPr>
      </w:pPr>
    </w:p>
    <w:p>
      <w:pPr>
        <w:pStyle w:val="2"/>
        <w:rPr>
          <w:rFonts w:ascii="宋体" w:hAnsi="宋体" w:cs="宋体"/>
          <w:color w:val="auto"/>
          <w:highlight w:val="none"/>
        </w:rPr>
      </w:pPr>
    </w:p>
    <w:p>
      <w:pPr>
        <w:rPr>
          <w:rFonts w:ascii="宋体" w:hAnsi="宋体" w:cs="宋体"/>
          <w:color w:val="auto"/>
          <w:highlight w:val="none"/>
        </w:rPr>
      </w:pPr>
    </w:p>
    <w:p>
      <w:pPr>
        <w:pStyle w:val="2"/>
        <w:rPr>
          <w:rFonts w:ascii="宋体" w:hAnsi="宋体" w:cs="宋体"/>
          <w:color w:val="auto"/>
          <w:highlight w:val="none"/>
        </w:rPr>
      </w:pPr>
    </w:p>
    <w:p>
      <w:pPr>
        <w:rPr>
          <w:rFonts w:ascii="宋体" w:hAnsi="宋体" w:cs="宋体"/>
          <w:color w:val="auto"/>
          <w:highlight w:val="none"/>
        </w:rPr>
      </w:pPr>
    </w:p>
    <w:p>
      <w:pPr>
        <w:rPr>
          <w:lang w:val="en-US" w:eastAsia="zh-CN"/>
        </w:rPr>
      </w:pPr>
    </w:p>
    <w:p>
      <w:pPr>
        <w:rPr>
          <w:color w:val="auto"/>
          <w:highlight w:val="none"/>
        </w:rPr>
      </w:pPr>
    </w:p>
    <w:p>
      <w:pPr>
        <w:pStyle w:val="3"/>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jc w:val="center"/>
        <w:textAlignment w:val="auto"/>
        <w:rPr>
          <w:color w:val="auto"/>
          <w:highlight w:val="none"/>
        </w:rPr>
      </w:pPr>
      <w:bookmarkStart w:id="125" w:name="_Toc21198"/>
      <w:bookmarkStart w:id="126" w:name="_Toc29226"/>
      <w:r>
        <w:rPr>
          <w:rFonts w:hint="eastAsia" w:ascii="宋体" w:hAnsi="宋体" w:cs="宋体"/>
          <w:color w:val="auto"/>
          <w:highlight w:val="none"/>
        </w:rPr>
        <w:t>评标办法（经评审的最低投标价法）</w:t>
      </w:r>
      <w:bookmarkEnd w:id="125"/>
      <w:bookmarkEnd w:id="126"/>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评标方法前附表</w:t>
      </w:r>
    </w:p>
    <w:tbl>
      <w:tblPr>
        <w:tblStyle w:val="42"/>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jc w:val="center"/>
        </w:trPr>
        <w:tc>
          <w:tcPr>
            <w:tcW w:w="2024" w:type="dxa"/>
            <w:gridSpan w:val="2"/>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b/>
                <w:color w:val="auto"/>
                <w:highlight w:val="none"/>
              </w:rPr>
            </w:pPr>
            <w:r>
              <w:rPr>
                <w:b/>
                <w:color w:val="auto"/>
                <w:highlight w:val="none"/>
              </w:rPr>
              <w:t>条款号</w:t>
            </w: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b/>
                <w:color w:val="auto"/>
                <w:highlight w:val="none"/>
              </w:rPr>
            </w:pPr>
            <w:r>
              <w:rPr>
                <w:b/>
                <w:color w:val="auto"/>
                <w:highlight w:val="none"/>
              </w:rPr>
              <w:t>评审因素</w:t>
            </w:r>
          </w:p>
        </w:tc>
        <w:tc>
          <w:tcPr>
            <w:tcW w:w="5004"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b/>
                <w:color w:val="auto"/>
                <w:highlight w:val="none"/>
              </w:rPr>
            </w:pPr>
            <w:r>
              <w:rPr>
                <w:b/>
                <w:color w:val="auto"/>
                <w:highlight w:val="none"/>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00" w:type="dxa"/>
            <w:vMerge w:val="restart"/>
            <w:tcBorders>
              <w:top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1</w:t>
            </w:r>
          </w:p>
        </w:tc>
        <w:tc>
          <w:tcPr>
            <w:tcW w:w="1124"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评标方法</w:t>
            </w: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中标候选人排序方法</w:t>
            </w:r>
          </w:p>
        </w:tc>
        <w:tc>
          <w:tcPr>
            <w:tcW w:w="5004" w:type="dxa"/>
            <w:tcBorders>
              <w:top w:val="single" w:color="auto" w:sz="4" w:space="0"/>
              <w:left w:val="single" w:color="auto" w:sz="4" w:space="0"/>
              <w:bottom w:val="single" w:color="auto" w:sz="4" w:space="0"/>
            </w:tcBorders>
          </w:tcPr>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如出现报价相等时，评审小组按以下原则确定第一中标候选人：</w:t>
            </w:r>
          </w:p>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rFonts w:hint="eastAsia"/>
                <w:color w:val="auto"/>
                <w:highlight w:val="none"/>
              </w:rPr>
              <w:t>以最早提交报价文件的报价人为第一中标候选人</w:t>
            </w:r>
            <w:r>
              <w:rPr>
                <w:color w:val="auto"/>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00"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olor w:val="auto"/>
                <w:kern w:val="0"/>
              </w:rPr>
              <w:t>符合性审查</w:t>
            </w:r>
          </w:p>
        </w:tc>
        <w:tc>
          <w:tcPr>
            <w:tcW w:w="5004"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ascii="宋体" w:hAnsi="宋体"/>
                <w:color w:val="auto"/>
                <w:kern w:val="0"/>
              </w:rPr>
            </w:pPr>
            <w:r>
              <w:rPr>
                <w:rFonts w:hint="eastAsia" w:ascii="宋体" w:hAnsi="宋体"/>
                <w:color w:val="auto"/>
                <w:kern w:val="0"/>
              </w:rPr>
              <w:t>取报价排序前</w:t>
            </w:r>
            <w:r>
              <w:rPr>
                <w:rFonts w:hint="eastAsia" w:ascii="宋体" w:hAnsi="宋体"/>
                <w:color w:val="auto"/>
                <w:kern w:val="0"/>
                <w:highlight w:val="none"/>
                <w:lang w:eastAsia="zh-CN"/>
              </w:rPr>
              <w:t>□</w:t>
            </w:r>
            <w:r>
              <w:rPr>
                <w:rFonts w:hint="eastAsia" w:ascii="宋体" w:hAnsi="宋体"/>
                <w:color w:val="auto"/>
                <w:kern w:val="0"/>
                <w:highlight w:val="none"/>
              </w:rPr>
              <w:t>5</w:t>
            </w:r>
            <w:r>
              <w:rPr>
                <w:rFonts w:hint="eastAsia" w:ascii="宋体" w:hAnsi="宋体"/>
                <w:color w:val="auto"/>
                <w:kern w:val="0"/>
                <w:highlight w:val="none"/>
                <w:lang w:eastAsia="zh-CN"/>
              </w:rPr>
              <w:t>☑</w:t>
            </w:r>
            <w:r>
              <w:rPr>
                <w:rFonts w:hint="eastAsia" w:ascii="宋体" w:hAnsi="宋体"/>
                <w:color w:val="auto"/>
                <w:kern w:val="0"/>
                <w:highlight w:val="none"/>
              </w:rPr>
              <w:t>6</w:t>
            </w:r>
            <w:r>
              <w:rPr>
                <w:rFonts w:hint="eastAsia" w:ascii="宋体" w:hAnsi="宋体"/>
                <w:color w:val="auto"/>
                <w:kern w:val="0"/>
                <w:highlight w:val="none"/>
                <w:lang w:eastAsia="zh-CN"/>
              </w:rPr>
              <w:t>□</w:t>
            </w:r>
            <w:r>
              <w:rPr>
                <w:rFonts w:hint="eastAsia" w:ascii="宋体" w:hAnsi="宋体"/>
                <w:color w:val="auto"/>
                <w:kern w:val="0"/>
                <w:highlight w:val="none"/>
              </w:rPr>
              <w:t>7名（若</w:t>
            </w:r>
            <w:r>
              <w:rPr>
                <w:rFonts w:hint="eastAsia" w:ascii="宋体" w:hAnsi="宋体"/>
                <w:color w:val="auto"/>
                <w:kern w:val="0"/>
              </w:rPr>
              <w:t>实际</w:t>
            </w:r>
            <w:r>
              <w:rPr>
                <w:rFonts w:hint="eastAsia" w:ascii="宋体" w:hAnsi="宋体"/>
                <w:color w:val="auto"/>
                <w:kern w:val="0"/>
                <w:lang w:val="en-US" w:eastAsia="zh-CN"/>
              </w:rPr>
              <w:t>报价</w:t>
            </w:r>
            <w:r>
              <w:rPr>
                <w:rFonts w:hint="eastAsia" w:ascii="宋体" w:hAnsi="宋体"/>
                <w:color w:val="auto"/>
                <w:kern w:val="0"/>
              </w:rPr>
              <w:t>人数量小于勾选数量，</w:t>
            </w:r>
            <w:r>
              <w:rPr>
                <w:rFonts w:hint="eastAsia" w:ascii="宋体" w:hAnsi="宋体"/>
                <w:color w:val="auto"/>
                <w:spacing w:val="4"/>
                <w:kern w:val="0"/>
                <w:szCs w:val="21"/>
              </w:rPr>
              <w:t>则全部纳入）进行符合性审查。符合性审查内容：形式评审、资格评审、响应性评审。符合性审查</w:t>
            </w:r>
            <w:r>
              <w:rPr>
                <w:rFonts w:hint="eastAsia" w:ascii="宋体" w:hAnsi="宋体"/>
                <w:color w:val="auto"/>
                <w:kern w:val="0"/>
              </w:rPr>
              <w:t>合格的</w:t>
            </w:r>
            <w:r>
              <w:rPr>
                <w:rFonts w:hint="eastAsia" w:ascii="宋体" w:hAnsi="宋体"/>
                <w:color w:val="auto"/>
                <w:kern w:val="0"/>
                <w:lang w:val="en-US" w:eastAsia="zh-CN"/>
              </w:rPr>
              <w:t>报价</w:t>
            </w:r>
            <w:r>
              <w:rPr>
                <w:rFonts w:hint="eastAsia" w:ascii="宋体" w:hAnsi="宋体"/>
                <w:color w:val="auto"/>
                <w:kern w:val="0"/>
              </w:rPr>
              <w:t>人中，报价最低的成为第一中标候选人，报价次低的成为第二中标候选人，依次类推。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color w:val="auto"/>
                <w:highlight w:val="none"/>
              </w:rPr>
            </w:pPr>
            <w:r>
              <w:rPr>
                <w:rFonts w:hint="eastAsia" w:ascii="宋体" w:hAnsi="宋体"/>
                <w:color w:val="auto"/>
                <w:kern w:val="0"/>
              </w:rPr>
              <w:t>符合性审查中有任何一项不符合要求，符合性审查不合格，</w:t>
            </w:r>
            <w:r>
              <w:rPr>
                <w:rFonts w:hint="eastAsia" w:ascii="宋体" w:hAnsi="宋体"/>
                <w:color w:val="auto"/>
                <w:kern w:val="0"/>
                <w:lang w:val="en-US" w:eastAsia="zh-CN"/>
              </w:rPr>
              <w:t>其</w:t>
            </w:r>
            <w:r>
              <w:rPr>
                <w:rFonts w:hint="eastAsia" w:ascii="宋体" w:hAnsi="宋体" w:cs="宋体"/>
                <w:color w:val="auto"/>
                <w:sz w:val="21"/>
                <w:szCs w:val="21"/>
                <w:highlight w:val="none"/>
                <w:lang w:eastAsia="zh-CN"/>
              </w:rPr>
              <w:t>竞争性比选响应文件</w:t>
            </w:r>
            <w:r>
              <w:rPr>
                <w:rFonts w:hint="eastAsia" w:ascii="宋体" w:hAnsi="宋体"/>
                <w:color w:val="auto"/>
                <w:kern w:val="0"/>
              </w:rPr>
              <w:t>由评标委员会作否决处理。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restart"/>
            <w:tcBorders>
              <w:top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2</w:t>
            </w:r>
          </w:p>
        </w:tc>
        <w:tc>
          <w:tcPr>
            <w:tcW w:w="1124"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报价</w:t>
            </w:r>
            <w:r>
              <w:rPr>
                <w:color w:val="auto"/>
                <w:highlight w:val="none"/>
              </w:rPr>
              <w:t>人名称</w:t>
            </w:r>
          </w:p>
        </w:tc>
        <w:tc>
          <w:tcPr>
            <w:tcW w:w="5004"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rFonts w:hint="eastAsia" w:asciiTheme="minorEastAsia" w:hAnsiTheme="minorEastAsia" w:eastAsiaTheme="minorEastAsia" w:cstheme="minorEastAsia"/>
                <w:color w:val="auto"/>
                <w:szCs w:val="21"/>
                <w:highlight w:val="none"/>
              </w:rPr>
              <w:t>与营业执照、资质证书一致。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报价</w:t>
            </w:r>
            <w:r>
              <w:rPr>
                <w:color w:val="auto"/>
                <w:highlight w:val="none"/>
              </w:rPr>
              <w:t>函签字盖章</w:t>
            </w:r>
          </w:p>
        </w:tc>
        <w:tc>
          <w:tcPr>
            <w:tcW w:w="5004"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有法定代表人或委托代理人签字或加盖单位公章。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竞争性</w:t>
            </w:r>
            <w:r>
              <w:rPr>
                <w:color w:val="auto"/>
                <w:highlight w:val="none"/>
              </w:rPr>
              <w:t>比选</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响应文件格式</w:t>
            </w:r>
          </w:p>
        </w:tc>
        <w:tc>
          <w:tcPr>
            <w:tcW w:w="5004"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w:t>
            </w:r>
            <w:r>
              <w:rPr>
                <w:rFonts w:hint="eastAsia"/>
                <w:color w:val="auto"/>
                <w:highlight w:val="none"/>
                <w:lang w:val="en-US" w:eastAsia="zh-CN"/>
              </w:rPr>
              <w:t>六</w:t>
            </w:r>
            <w:r>
              <w:rPr>
                <w:color w:val="auto"/>
                <w:highlight w:val="none"/>
              </w:rPr>
              <w:t>章</w:t>
            </w:r>
            <w:r>
              <w:rPr>
                <w:rFonts w:hint="eastAsia"/>
                <w:color w:val="auto"/>
                <w:highlight w:val="none"/>
                <w:lang w:eastAsia="zh-CN"/>
              </w:rPr>
              <w:t>“</w:t>
            </w:r>
            <w:r>
              <w:rPr>
                <w:rFonts w:hint="eastAsia"/>
                <w:color w:val="auto"/>
                <w:highlight w:val="none"/>
              </w:rPr>
              <w:t>竞争性</w:t>
            </w:r>
            <w:r>
              <w:rPr>
                <w:color w:val="auto"/>
                <w:highlight w:val="none"/>
              </w:rPr>
              <w:t>比选响应文件格式</w:t>
            </w:r>
            <w:r>
              <w:rPr>
                <w:rFonts w:hint="eastAsia"/>
                <w:color w:val="auto"/>
                <w:highlight w:val="none"/>
                <w:lang w:eastAsia="zh-CN"/>
              </w:rPr>
              <w:t>”</w:t>
            </w:r>
            <w:r>
              <w:rPr>
                <w:color w:val="auto"/>
                <w:highlight w:val="none"/>
              </w:rPr>
              <w:t>的要求，字迹清晰可辨。</w:t>
            </w:r>
          </w:p>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1.</w:t>
            </w:r>
            <w:r>
              <w:rPr>
                <w:rFonts w:hint="eastAsia"/>
                <w:color w:val="auto"/>
                <w:highlight w:val="none"/>
              </w:rPr>
              <w:t>报价</w:t>
            </w:r>
            <w:r>
              <w:rPr>
                <w:color w:val="auto"/>
                <w:highlight w:val="none"/>
              </w:rPr>
              <w:t>函的所有数据均符合</w:t>
            </w:r>
            <w:r>
              <w:rPr>
                <w:rFonts w:hint="eastAsia"/>
                <w:color w:val="auto"/>
                <w:highlight w:val="none"/>
              </w:rPr>
              <w:t>比选</w:t>
            </w:r>
            <w:r>
              <w:rPr>
                <w:color w:val="auto"/>
                <w:highlight w:val="none"/>
              </w:rPr>
              <w:t>文件的规定；</w:t>
            </w:r>
          </w:p>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2.</w:t>
            </w:r>
            <w:r>
              <w:rPr>
                <w:rFonts w:hint="eastAsia"/>
                <w:color w:val="auto"/>
                <w:highlight w:val="none"/>
              </w:rPr>
              <w:t>竞争性</w:t>
            </w:r>
            <w:r>
              <w:rPr>
                <w:color w:val="auto"/>
                <w:highlight w:val="none"/>
              </w:rPr>
              <w:t>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报价其它要求</w:t>
            </w:r>
          </w:p>
        </w:tc>
        <w:tc>
          <w:tcPr>
            <w:tcW w:w="5004"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rFonts w:hint="eastAsia"/>
                <w:color w:val="auto"/>
                <w:highlight w:val="none"/>
              </w:rPr>
              <w:t>竞争性</w:t>
            </w:r>
            <w:r>
              <w:rPr>
                <w:color w:val="auto"/>
                <w:highlight w:val="none"/>
              </w:rPr>
              <w:t>比选响应文件报价表中的报价与</w:t>
            </w:r>
            <w:r>
              <w:rPr>
                <w:rFonts w:hint="eastAsia"/>
                <w:color w:val="auto"/>
                <w:highlight w:val="none"/>
              </w:rPr>
              <w:t>报价</w:t>
            </w:r>
            <w:r>
              <w:rPr>
                <w:color w:val="auto"/>
                <w:highlight w:val="none"/>
              </w:rPr>
              <w:t>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color w:val="auto"/>
                <w:highlight w:val="none"/>
              </w:rPr>
              <w:t>竞争性</w:t>
            </w:r>
            <w:r>
              <w:rPr>
                <w:color w:val="auto"/>
                <w:highlight w:val="none"/>
              </w:rPr>
              <w:t>比选响应文件正本中法定代表人或其授权代理人签署</w:t>
            </w:r>
          </w:p>
        </w:tc>
        <w:tc>
          <w:tcPr>
            <w:tcW w:w="5004" w:type="dxa"/>
            <w:tcBorders>
              <w:top w:val="single" w:color="auto" w:sz="4" w:space="0"/>
              <w:left w:val="single" w:color="auto" w:sz="4" w:space="0"/>
              <w:bottom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color w:val="auto"/>
                <w:highlight w:val="none"/>
              </w:rPr>
              <w:t>竞争性</w:t>
            </w:r>
            <w:r>
              <w:rPr>
                <w:color w:val="auto"/>
                <w:highlight w:val="none"/>
              </w:rPr>
              <w:t>比选响应文件正本中法定代表人或授权代理人签署姓名齐全，符合</w:t>
            </w:r>
            <w:r>
              <w:rPr>
                <w:rFonts w:hint="eastAsia"/>
                <w:color w:val="auto"/>
                <w:highlight w:val="none"/>
              </w:rPr>
              <w:t>比选</w:t>
            </w:r>
            <w:r>
              <w:rPr>
                <w:color w:val="auto"/>
                <w:highlight w:val="none"/>
              </w:rPr>
              <w:t>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Autospacing="0" w:line="400" w:lineRule="exact"/>
              <w:jc w:val="center"/>
              <w:textAlignment w:val="auto"/>
              <w:rPr>
                <w:color w:val="auto"/>
                <w:highlight w:val="none"/>
              </w:rPr>
            </w:pPr>
            <w:r>
              <w:rPr>
                <w:rFonts w:hint="eastAsia" w:asciiTheme="minorEastAsia" w:hAnsiTheme="minorEastAsia" w:eastAsiaTheme="minorEastAsia" w:cstheme="minorEastAsia"/>
                <w:color w:val="auto"/>
                <w:szCs w:val="21"/>
                <w:highlight w:val="none"/>
              </w:rPr>
              <w:t>其它</w:t>
            </w:r>
          </w:p>
        </w:tc>
        <w:tc>
          <w:tcPr>
            <w:tcW w:w="5004"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color w:val="auto"/>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restart"/>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s="宋体"/>
                <w:color w:val="auto"/>
                <w:sz w:val="21"/>
                <w:szCs w:val="21"/>
                <w:highlight w:val="none"/>
                <w:lang w:val="en-US" w:eastAsia="zh-CN"/>
              </w:rPr>
              <w:t>资质要求</w:t>
            </w:r>
          </w:p>
        </w:tc>
        <w:tc>
          <w:tcPr>
            <w:tcW w:w="5004"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业绩要求</w:t>
            </w:r>
          </w:p>
        </w:tc>
        <w:tc>
          <w:tcPr>
            <w:tcW w:w="5004"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信誉要求</w:t>
            </w:r>
          </w:p>
        </w:tc>
        <w:tc>
          <w:tcPr>
            <w:tcW w:w="5004"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restart"/>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s="宋体"/>
                <w:color w:val="auto"/>
                <w:lang w:val="en-US" w:eastAsia="zh-CN"/>
              </w:rPr>
              <w:t>服务地点</w:t>
            </w:r>
          </w:p>
        </w:tc>
        <w:tc>
          <w:tcPr>
            <w:tcW w:w="5004"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3</w:t>
            </w:r>
            <w:r>
              <w:rPr>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rPr>
            </w:pPr>
          </w:p>
        </w:tc>
        <w:tc>
          <w:tcPr>
            <w:tcW w:w="1124"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宋体"/>
                <w:color w:val="auto"/>
                <w:highlight w:val="none"/>
                <w:lang w:val="en-US" w:eastAsia="zh-CN"/>
              </w:rPr>
            </w:pPr>
            <w:r>
              <w:rPr>
                <w:rFonts w:hint="eastAsia" w:ascii="宋体" w:hAnsi="宋体" w:cs="宋体"/>
                <w:color w:val="auto"/>
              </w:rPr>
              <w:t>项目规模</w:t>
            </w:r>
          </w:p>
        </w:tc>
        <w:tc>
          <w:tcPr>
            <w:tcW w:w="5004"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4</w:t>
            </w:r>
            <w:r>
              <w:rPr>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宋体"/>
                <w:color w:val="auto"/>
                <w:highlight w:val="none"/>
                <w:lang w:val="en-US" w:eastAsia="zh-CN"/>
              </w:rPr>
            </w:pPr>
            <w:r>
              <w:rPr>
                <w:rFonts w:hint="eastAsia"/>
                <w:color w:val="auto"/>
                <w:highlight w:val="none"/>
                <w:lang w:val="en-US" w:eastAsia="zh-CN"/>
              </w:rPr>
              <w:t>投标内容</w:t>
            </w:r>
          </w:p>
        </w:tc>
        <w:tc>
          <w:tcPr>
            <w:tcW w:w="5004"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5</w:t>
            </w:r>
            <w:r>
              <w:rPr>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Cs w:val="21"/>
                <w:highlight w:val="none"/>
                <w:lang w:val="en-US" w:eastAsia="zh-CN"/>
              </w:rPr>
            </w:pPr>
            <w:r>
              <w:rPr>
                <w:rFonts w:hint="eastAsia" w:ascii="宋体" w:hAnsi="宋体" w:cs="宋体"/>
                <w:color w:val="auto"/>
              </w:rPr>
              <w:t>服务期限</w:t>
            </w:r>
          </w:p>
        </w:tc>
        <w:tc>
          <w:tcPr>
            <w:tcW w:w="5004"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6</w:t>
            </w:r>
            <w:r>
              <w:rPr>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color w:val="auto"/>
                <w:highlight w:val="none"/>
                <w:lang w:val="en-US" w:eastAsia="zh-CN"/>
              </w:rPr>
            </w:pPr>
            <w:r>
              <w:rPr>
                <w:rFonts w:hint="eastAsia" w:ascii="宋体" w:hAnsi="宋体" w:cs="宋体"/>
                <w:color w:val="auto"/>
                <w:szCs w:val="21"/>
                <w:highlight w:val="none"/>
                <w:lang w:val="en-US" w:eastAsia="zh-CN"/>
              </w:rPr>
              <w:t>服务要求</w:t>
            </w:r>
          </w:p>
        </w:tc>
        <w:tc>
          <w:tcPr>
            <w:tcW w:w="5004"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7</w:t>
            </w:r>
            <w:r>
              <w:rPr>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报价</w:t>
            </w:r>
          </w:p>
        </w:tc>
        <w:tc>
          <w:tcPr>
            <w:tcW w:w="5004"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符合比选文件给出的范围及数量，且报价不得超过</w:t>
            </w:r>
            <w:r>
              <w:rPr>
                <w:rFonts w:hint="eastAsia"/>
                <w:color w:val="auto"/>
                <w:highlight w:val="none"/>
              </w:rPr>
              <w:t>采购人</w:t>
            </w:r>
            <w:r>
              <w:rPr>
                <w:color w:val="auto"/>
                <w:highlight w:val="none"/>
              </w:rPr>
              <w:t>公布的最高限价，但也不得低于</w:t>
            </w:r>
            <w:r>
              <w:rPr>
                <w:rFonts w:hint="eastAsia"/>
                <w:color w:val="auto"/>
                <w:highlight w:val="none"/>
              </w:rPr>
              <w:t>报价</w:t>
            </w:r>
            <w:r>
              <w:rPr>
                <w:color w:val="auto"/>
                <w:highlight w:val="none"/>
              </w:rPr>
              <w:t>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宋体"/>
                <w:color w:val="auto"/>
                <w:highlight w:val="none"/>
                <w:lang w:eastAsia="zh-CN"/>
              </w:rPr>
            </w:pPr>
            <w:r>
              <w:rPr>
                <w:rFonts w:hint="eastAsia"/>
                <w:color w:val="auto"/>
                <w:highlight w:val="none"/>
                <w:lang w:val="en-US" w:eastAsia="zh-CN"/>
              </w:rPr>
              <w:t>偏差</w:t>
            </w:r>
          </w:p>
        </w:tc>
        <w:tc>
          <w:tcPr>
            <w:tcW w:w="5004"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13</w:t>
            </w:r>
            <w:r>
              <w:rPr>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宋体"/>
                <w:color w:val="auto"/>
                <w:highlight w:val="none"/>
                <w:lang w:eastAsia="zh-CN"/>
              </w:rPr>
            </w:pPr>
            <w:r>
              <w:rPr>
                <w:rFonts w:hint="eastAsia"/>
                <w:color w:val="auto"/>
                <w:highlight w:val="none"/>
                <w:lang w:val="en-US" w:eastAsia="zh-CN"/>
              </w:rPr>
              <w:t>保证金</w:t>
            </w:r>
          </w:p>
        </w:tc>
        <w:tc>
          <w:tcPr>
            <w:tcW w:w="5004"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20</w:t>
            </w:r>
            <w:r>
              <w:rPr>
                <w:color w:val="auto"/>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5</w:t>
            </w:r>
          </w:p>
        </w:tc>
        <w:tc>
          <w:tcPr>
            <w:tcW w:w="11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评标结果</w:t>
            </w:r>
          </w:p>
        </w:tc>
        <w:tc>
          <w:tcPr>
            <w:tcW w:w="7121" w:type="dxa"/>
            <w:gridSpan w:val="2"/>
            <w:tcBorders>
              <w:top w:val="single" w:color="auto" w:sz="4" w:space="0"/>
              <w:left w:val="single" w:color="auto" w:sz="4" w:space="0"/>
              <w:bottom w:val="single" w:color="auto" w:sz="4" w:space="0"/>
            </w:tcBorders>
          </w:tcPr>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color w:val="auto"/>
                <w:highlight w:val="none"/>
              </w:rPr>
            </w:pPr>
            <w:r>
              <w:rPr>
                <w:color w:val="auto"/>
                <w:highlight w:val="none"/>
              </w:rPr>
              <w:t>补充细化：</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color w:val="auto"/>
                <w:highlight w:val="none"/>
              </w:rPr>
            </w:pPr>
            <w:r>
              <w:rPr>
                <w:color w:val="auto"/>
                <w:highlight w:val="none"/>
              </w:rPr>
              <w:t>本项目评标采用经评审的最低投标价法，对通过初步评审、详细评审的</w:t>
            </w:r>
            <w:r>
              <w:rPr>
                <w:rFonts w:hint="eastAsia"/>
                <w:color w:val="auto"/>
                <w:highlight w:val="none"/>
              </w:rPr>
              <w:t>报价</w:t>
            </w:r>
            <w:r>
              <w:rPr>
                <w:color w:val="auto"/>
                <w:highlight w:val="none"/>
              </w:rPr>
              <w:t>人按照</w:t>
            </w:r>
            <w:r>
              <w:rPr>
                <w:rFonts w:hint="eastAsia"/>
                <w:color w:val="auto"/>
                <w:highlight w:val="none"/>
              </w:rPr>
              <w:t>报</w:t>
            </w:r>
            <w:r>
              <w:rPr>
                <w:color w:val="auto"/>
                <w:highlight w:val="none"/>
              </w:rPr>
              <w:t>价从低到高的先后顺序，推荐</w:t>
            </w:r>
            <w:r>
              <w:rPr>
                <w:rFonts w:hint="eastAsia"/>
                <w:color w:val="auto"/>
                <w:highlight w:val="none"/>
              </w:rPr>
              <w:t>2</w:t>
            </w:r>
            <w:r>
              <w:rPr>
                <w:color w:val="auto"/>
                <w:highlight w:val="none"/>
              </w:rPr>
              <w:t>名中标候选人。</w:t>
            </w:r>
          </w:p>
        </w:tc>
      </w:tr>
    </w:tbl>
    <w:p>
      <w:pPr>
        <w:rPr>
          <w:color w:val="auto"/>
          <w:highlight w:val="none"/>
        </w:rPr>
      </w:pPr>
    </w:p>
    <w:p>
      <w:pPr>
        <w:rPr>
          <w:rFonts w:hint="eastAsia" w:ascii="宋体" w:hAnsi="宋体" w:cs="宋体"/>
          <w:color w:val="auto"/>
          <w:sz w:val="28"/>
          <w:szCs w:val="28"/>
          <w:highlight w:val="none"/>
        </w:rPr>
      </w:pPr>
      <w:r>
        <w:rPr>
          <w:rFonts w:hint="eastAsia" w:ascii="宋体" w:hAnsi="宋体" w:cs="宋体"/>
          <w:color w:val="auto"/>
          <w:sz w:val="28"/>
          <w:szCs w:val="28"/>
          <w:highlight w:val="none"/>
        </w:rPr>
        <w:br w:type="page"/>
      </w:r>
    </w:p>
    <w:p>
      <w:pPr>
        <w:keepNext w:val="0"/>
        <w:keepLines w:val="0"/>
        <w:pageBreakBefore w:val="0"/>
        <w:widowControl w:val="0"/>
        <w:kinsoku/>
        <w:wordWrap/>
        <w:overflowPunct/>
        <w:topLinePunct w:val="0"/>
        <w:autoSpaceDE/>
        <w:autoSpaceDN/>
        <w:bidi w:val="0"/>
        <w:adjustRightInd/>
        <w:snapToGrid/>
        <w:spacing w:line="400" w:lineRule="exact"/>
        <w:ind w:firstLine="413" w:firstLineChars="197"/>
        <w:textAlignment w:val="auto"/>
        <w:outlineLvl w:val="1"/>
        <w:rPr>
          <w:rFonts w:hint="eastAsia" w:ascii="宋体" w:hAnsi="宋体" w:cs="宋体"/>
          <w:color w:val="auto"/>
          <w:sz w:val="21"/>
          <w:szCs w:val="21"/>
          <w:highlight w:val="none"/>
        </w:rPr>
      </w:pPr>
      <w:bookmarkStart w:id="127" w:name="_Toc1506"/>
      <w:bookmarkStart w:id="128" w:name="_Toc15534"/>
      <w:r>
        <w:rPr>
          <w:rFonts w:hint="eastAsia" w:ascii="宋体" w:hAnsi="宋体" w:cs="宋体"/>
          <w:color w:val="auto"/>
          <w:sz w:val="21"/>
          <w:szCs w:val="21"/>
          <w:highlight w:val="none"/>
        </w:rPr>
        <w:t>1. 评标方法</w:t>
      </w:r>
      <w:bookmarkEnd w:id="127"/>
      <w:bookmarkEnd w:id="128"/>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ascii="宋体" w:hAnsi="宋体"/>
          <w:color w:val="auto"/>
          <w:sz w:val="21"/>
          <w:szCs w:val="21"/>
          <w:highlight w:val="none"/>
        </w:rPr>
      </w:pPr>
      <w:r>
        <w:rPr>
          <w:rFonts w:hint="eastAsia" w:ascii="宋体" w:hAnsi="宋体"/>
          <w:color w:val="auto"/>
          <w:sz w:val="21"/>
          <w:szCs w:val="21"/>
          <w:highlight w:val="none"/>
        </w:rPr>
        <w:t>本次评标采用经评审的最低投标价法，评标委员会按照本章第2.1款进行报价排序，按照本章第2.2款进行符合性审查，符合性审查合格的</w:t>
      </w:r>
      <w:r>
        <w:rPr>
          <w:rFonts w:hint="eastAsia" w:ascii="宋体" w:hAnsi="宋体"/>
          <w:color w:val="auto"/>
          <w:sz w:val="21"/>
          <w:szCs w:val="21"/>
          <w:highlight w:val="none"/>
          <w:lang w:eastAsia="zh-CN"/>
        </w:rPr>
        <w:t>报价人</w:t>
      </w:r>
      <w:r>
        <w:rPr>
          <w:rFonts w:hint="eastAsia" w:ascii="宋体" w:hAnsi="宋体"/>
          <w:color w:val="auto"/>
          <w:sz w:val="21"/>
          <w:szCs w:val="21"/>
          <w:highlight w:val="none"/>
        </w:rPr>
        <w:t>中按报价由低到高推荐中标候选人，或根据采购人授权直接确定中标人。若出现</w:t>
      </w:r>
      <w:r>
        <w:rPr>
          <w:rFonts w:hint="eastAsia" w:ascii="宋体" w:hAnsi="宋体"/>
          <w:color w:val="auto"/>
          <w:sz w:val="21"/>
          <w:szCs w:val="21"/>
          <w:highlight w:val="none"/>
          <w:lang w:eastAsia="zh-CN"/>
        </w:rPr>
        <w:t>报价人</w:t>
      </w:r>
      <w:r>
        <w:rPr>
          <w:rFonts w:hint="eastAsia" w:ascii="宋体" w:hAnsi="宋体"/>
          <w:color w:val="auto"/>
          <w:sz w:val="21"/>
          <w:szCs w:val="21"/>
          <w:highlight w:val="none"/>
        </w:rPr>
        <w:t>投标报价相同的，以评标办法前附表约定的原则确定排序。</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1"/>
        <w:rPr>
          <w:rFonts w:hint="eastAsia" w:ascii="宋体" w:hAnsi="宋体" w:cs="宋体"/>
          <w:color w:val="auto"/>
          <w:sz w:val="21"/>
          <w:szCs w:val="21"/>
          <w:highlight w:val="none"/>
        </w:rPr>
      </w:pPr>
      <w:bookmarkStart w:id="129" w:name="_Toc4220"/>
      <w:bookmarkStart w:id="130" w:name="_Toc33106442"/>
      <w:bookmarkStart w:id="131" w:name="_Toc2783"/>
      <w:bookmarkStart w:id="132" w:name="_Toc57795919"/>
      <w:bookmarkStart w:id="133" w:name="_Toc14299"/>
      <w:r>
        <w:rPr>
          <w:rFonts w:hint="eastAsia" w:ascii="宋体" w:hAnsi="宋体" w:cs="宋体"/>
          <w:color w:val="auto"/>
          <w:sz w:val="21"/>
          <w:szCs w:val="21"/>
          <w:highlight w:val="none"/>
        </w:rPr>
        <w:t>2. 评审标准</w:t>
      </w:r>
      <w:bookmarkEnd w:id="129"/>
      <w:bookmarkEnd w:id="130"/>
      <w:bookmarkEnd w:id="131"/>
      <w:bookmarkEnd w:id="132"/>
      <w:bookmarkEnd w:id="133"/>
    </w:p>
    <w:p>
      <w:pPr>
        <w:pageBreakBefore w:val="0"/>
        <w:widowControl w:val="0"/>
        <w:kinsoku/>
        <w:wordWrap/>
        <w:overflowPunct/>
        <w:topLinePunct w:val="0"/>
        <w:bidi w:val="0"/>
        <w:spacing w:before="0" w:after="0" w:line="400" w:lineRule="exact"/>
        <w:textAlignment w:val="auto"/>
        <w:outlineLvl w:val="9"/>
        <w:rPr>
          <w:rFonts w:ascii="宋体" w:hAnsi="宋体" w:cs="宋体"/>
          <w:color w:val="auto"/>
          <w:sz w:val="21"/>
          <w:szCs w:val="21"/>
          <w:highlight w:val="none"/>
        </w:rPr>
      </w:pPr>
      <w:bookmarkStart w:id="134" w:name="_Toc33106443"/>
      <w:bookmarkStart w:id="135" w:name="_Toc57795920"/>
      <w:r>
        <w:rPr>
          <w:rFonts w:hint="eastAsia" w:ascii="宋体" w:hAnsi="宋体" w:cs="宋体"/>
          <w:color w:val="auto"/>
          <w:sz w:val="21"/>
          <w:szCs w:val="21"/>
          <w:highlight w:val="none"/>
        </w:rPr>
        <w:t>2.1报价排序</w:t>
      </w:r>
      <w:bookmarkEnd w:id="134"/>
      <w:r>
        <w:rPr>
          <w:rFonts w:hint="eastAsia" w:ascii="宋体" w:hAnsi="宋体" w:cs="宋体"/>
          <w:color w:val="auto"/>
          <w:sz w:val="21"/>
          <w:szCs w:val="21"/>
          <w:highlight w:val="none"/>
        </w:rPr>
        <w:t>标准</w:t>
      </w:r>
      <w:bookmarkEnd w:id="135"/>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见评标办法前附表。</w:t>
      </w:r>
    </w:p>
    <w:p>
      <w:pPr>
        <w:pageBreakBefore w:val="0"/>
        <w:widowControl w:val="0"/>
        <w:kinsoku/>
        <w:wordWrap/>
        <w:overflowPunct/>
        <w:topLinePunct w:val="0"/>
        <w:bidi w:val="0"/>
        <w:spacing w:before="0" w:after="0" w:line="400" w:lineRule="exact"/>
        <w:textAlignment w:val="auto"/>
        <w:outlineLvl w:val="9"/>
        <w:rPr>
          <w:rFonts w:ascii="宋体" w:hAnsi="宋体" w:cs="宋体"/>
          <w:color w:val="auto"/>
          <w:sz w:val="21"/>
          <w:szCs w:val="21"/>
          <w:highlight w:val="none"/>
        </w:rPr>
      </w:pPr>
      <w:bookmarkStart w:id="136" w:name="_Toc33106444"/>
      <w:bookmarkStart w:id="137" w:name="_Toc57795921"/>
      <w:r>
        <w:rPr>
          <w:rFonts w:ascii="宋体" w:hAnsi="宋体" w:cs="宋体"/>
          <w:color w:val="auto"/>
          <w:sz w:val="21"/>
          <w:szCs w:val="21"/>
          <w:highlight w:val="none"/>
        </w:rPr>
        <w:t>2.</w:t>
      </w:r>
      <w:r>
        <w:rPr>
          <w:rFonts w:hint="eastAsia" w:ascii="宋体" w:hAnsi="宋体" w:cs="宋体"/>
          <w:color w:val="auto"/>
          <w:sz w:val="21"/>
          <w:szCs w:val="21"/>
          <w:highlight w:val="none"/>
        </w:rPr>
        <w:t>2符合性审查</w:t>
      </w:r>
      <w:bookmarkEnd w:id="136"/>
      <w:r>
        <w:rPr>
          <w:rFonts w:hint="eastAsia" w:ascii="宋体" w:hAnsi="宋体" w:cs="宋体"/>
          <w:color w:val="auto"/>
          <w:sz w:val="21"/>
          <w:szCs w:val="21"/>
          <w:highlight w:val="none"/>
        </w:rPr>
        <w:t>标准</w:t>
      </w:r>
      <w:bookmarkEnd w:id="137"/>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按评标办法前附表约定的投标单位报价排序数量进行符合性审查</w:t>
      </w:r>
      <w:r>
        <w:rPr>
          <w:rFonts w:hint="eastAsia" w:ascii="宋体" w:hAnsi="宋体"/>
          <w:color w:val="auto"/>
          <w:spacing w:val="4"/>
          <w:kern w:val="0"/>
          <w:sz w:val="21"/>
          <w:szCs w:val="21"/>
          <w:highlight w:val="none"/>
        </w:rPr>
        <w:t>。符合性审查内容：技术方案评审（如有）、形式评审、资格评审、响应性、响应声明书部分及经济部分（如有）评审</w:t>
      </w:r>
      <w:r>
        <w:rPr>
          <w:rFonts w:hint="eastAsia" w:ascii="宋体" w:hAnsi="宋体" w:cs="宋体"/>
          <w:color w:val="auto"/>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hint="eastAsia" w:ascii="宋体" w:hAnsi="宋体" w:cs="宋体"/>
          <w:color w:val="auto"/>
          <w:sz w:val="21"/>
          <w:szCs w:val="21"/>
          <w:highlight w:val="none"/>
        </w:rPr>
      </w:pPr>
      <w:r>
        <w:rPr>
          <w:rFonts w:hint="eastAsia" w:ascii="宋体" w:hAnsi="宋体" w:cs="宋体"/>
          <w:color w:val="auto"/>
          <w:sz w:val="21"/>
          <w:szCs w:val="21"/>
          <w:highlight w:val="none"/>
        </w:rPr>
        <w:t>2.2.1  形式评审标准：见评标办法前附表。</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2.</w:t>
      </w:r>
      <w:r>
        <w:rPr>
          <w:rFonts w:hint="eastAsia" w:ascii="宋体" w:hAnsi="宋体" w:cs="宋体"/>
          <w:color w:val="auto"/>
          <w:sz w:val="21"/>
          <w:szCs w:val="21"/>
          <w:highlight w:val="none"/>
        </w:rPr>
        <w:t>2</w:t>
      </w:r>
      <w:r>
        <w:rPr>
          <w:rFonts w:ascii="宋体" w:hAnsi="宋体" w:cs="宋体"/>
          <w:color w:val="auto"/>
          <w:sz w:val="21"/>
          <w:szCs w:val="21"/>
          <w:highlight w:val="none"/>
        </w:rPr>
        <w:t>.</w:t>
      </w:r>
      <w:r>
        <w:rPr>
          <w:rFonts w:hint="eastAsia" w:ascii="宋体" w:hAnsi="宋体" w:cs="宋体"/>
          <w:color w:val="auto"/>
          <w:sz w:val="21"/>
          <w:szCs w:val="21"/>
          <w:highlight w:val="none"/>
        </w:rPr>
        <w:t>2  资格评审标准：见评标办法前附表。</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hint="eastAsia" w:ascii="宋体" w:hAnsi="宋体" w:cs="宋体"/>
          <w:color w:val="auto"/>
          <w:sz w:val="21"/>
          <w:szCs w:val="21"/>
          <w:highlight w:val="none"/>
        </w:rPr>
      </w:pPr>
      <w:r>
        <w:rPr>
          <w:rFonts w:ascii="宋体" w:hAnsi="宋体" w:cs="宋体"/>
          <w:color w:val="auto"/>
          <w:sz w:val="21"/>
          <w:szCs w:val="21"/>
          <w:highlight w:val="none"/>
        </w:rPr>
        <w:t>2.</w:t>
      </w:r>
      <w:r>
        <w:rPr>
          <w:rFonts w:hint="eastAsia" w:ascii="宋体" w:hAnsi="宋体" w:cs="宋体"/>
          <w:color w:val="auto"/>
          <w:sz w:val="21"/>
          <w:szCs w:val="21"/>
          <w:highlight w:val="none"/>
        </w:rPr>
        <w:t>2</w:t>
      </w:r>
      <w:r>
        <w:rPr>
          <w:rFonts w:ascii="宋体" w:hAnsi="宋体" w:cs="宋体"/>
          <w:color w:val="auto"/>
          <w:sz w:val="21"/>
          <w:szCs w:val="21"/>
          <w:highlight w:val="none"/>
        </w:rPr>
        <w:t>.</w:t>
      </w:r>
      <w:r>
        <w:rPr>
          <w:rFonts w:hint="eastAsia" w:ascii="宋体" w:hAnsi="宋体" w:cs="宋体"/>
          <w:color w:val="auto"/>
          <w:sz w:val="21"/>
          <w:szCs w:val="21"/>
          <w:highlight w:val="none"/>
        </w:rPr>
        <w:t>3  响应性评审标准：见评标办法前附表。</w:t>
      </w:r>
      <w:bookmarkStart w:id="138" w:name="_Toc57795922"/>
      <w:bookmarkStart w:id="139" w:name="_Toc33106445"/>
      <w:bookmarkStart w:id="140" w:name="_Toc8634"/>
    </w:p>
    <w:p>
      <w:pPr>
        <w:keepNext w:val="0"/>
        <w:keepLines w:val="0"/>
        <w:pageBreakBefore w:val="0"/>
        <w:widowControl w:val="0"/>
        <w:kinsoku/>
        <w:wordWrap/>
        <w:overflowPunct/>
        <w:topLinePunct w:val="0"/>
        <w:autoSpaceDE/>
        <w:autoSpaceDN/>
        <w:bidi w:val="0"/>
        <w:adjustRightInd/>
        <w:snapToGrid/>
        <w:spacing w:line="400" w:lineRule="exact"/>
        <w:ind w:firstLine="413" w:firstLineChars="197"/>
        <w:textAlignment w:val="auto"/>
        <w:outlineLvl w:val="1"/>
        <w:rPr>
          <w:rFonts w:hint="eastAsia" w:ascii="宋体" w:hAnsi="宋体" w:cs="宋体"/>
          <w:color w:val="auto"/>
          <w:sz w:val="21"/>
          <w:szCs w:val="21"/>
          <w:highlight w:val="none"/>
          <w:lang w:val="en-US" w:eastAsia="zh-CN"/>
        </w:rPr>
      </w:pPr>
      <w:bookmarkStart w:id="141" w:name="_Toc32470"/>
      <w:bookmarkStart w:id="142" w:name="_Toc30556"/>
      <w:r>
        <w:rPr>
          <w:rFonts w:hint="eastAsia" w:ascii="宋体" w:hAnsi="宋体" w:cs="宋体"/>
          <w:color w:val="auto"/>
          <w:sz w:val="21"/>
          <w:szCs w:val="21"/>
          <w:highlight w:val="none"/>
          <w:lang w:val="en-US" w:eastAsia="zh-CN"/>
        </w:rPr>
        <w:t>3. 评标程序</w:t>
      </w:r>
      <w:bookmarkEnd w:id="138"/>
      <w:bookmarkEnd w:id="139"/>
      <w:bookmarkEnd w:id="140"/>
      <w:bookmarkEnd w:id="141"/>
      <w:bookmarkEnd w:id="142"/>
      <w:bookmarkStart w:id="143" w:name="_Toc57795923"/>
      <w:bookmarkStart w:id="144" w:name="_Toc33106446"/>
    </w:p>
    <w:p>
      <w:pPr>
        <w:pageBreakBefore w:val="0"/>
        <w:widowControl w:val="0"/>
        <w:kinsoku/>
        <w:wordWrap/>
        <w:overflowPunct/>
        <w:topLinePunct w:val="0"/>
        <w:bidi w:val="0"/>
        <w:snapToGrid/>
        <w:spacing w:line="400" w:lineRule="exact"/>
        <w:ind w:firstLine="413" w:firstLineChars="197"/>
        <w:textAlignment w:val="auto"/>
        <w:outlineLvl w:val="9"/>
        <w:rPr>
          <w:rFonts w:hint="eastAsia" w:ascii="宋体" w:hAnsi="宋体" w:cs="宋体"/>
          <w:color w:val="auto"/>
          <w:sz w:val="21"/>
          <w:szCs w:val="21"/>
          <w:highlight w:val="none"/>
        </w:rPr>
      </w:pPr>
      <w:r>
        <w:rPr>
          <w:rFonts w:hint="eastAsia" w:ascii="宋体" w:hAnsi="宋体" w:cs="宋体"/>
          <w:color w:val="auto"/>
          <w:sz w:val="21"/>
          <w:szCs w:val="21"/>
          <w:highlight w:val="none"/>
        </w:rPr>
        <w:t>3.1报价排序</w:t>
      </w:r>
      <w:bookmarkEnd w:id="143"/>
      <w:bookmarkEnd w:id="144"/>
    </w:p>
    <w:p>
      <w:pPr>
        <w:pageBreakBefore w:val="0"/>
        <w:widowControl w:val="0"/>
        <w:kinsoku/>
        <w:wordWrap/>
        <w:overflowPunct/>
        <w:topLinePunct w:val="0"/>
        <w:bidi w:val="0"/>
        <w:snapToGrid/>
        <w:spacing w:line="400" w:lineRule="exact"/>
        <w:ind w:firstLine="413" w:firstLineChars="197"/>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对报价不高于最高限价的所有</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的</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，按照报价由低到高的顺序排序。</w:t>
      </w:r>
    </w:p>
    <w:p>
      <w:pPr>
        <w:pageBreakBefore w:val="0"/>
        <w:widowControl w:val="0"/>
        <w:kinsoku/>
        <w:wordWrap/>
        <w:overflowPunct/>
        <w:topLinePunct w:val="0"/>
        <w:bidi w:val="0"/>
        <w:snapToGrid/>
        <w:spacing w:before="0" w:after="0" w:line="400" w:lineRule="exact"/>
        <w:textAlignment w:val="auto"/>
        <w:outlineLvl w:val="9"/>
        <w:rPr>
          <w:rFonts w:ascii="宋体" w:hAnsi="宋体" w:cs="宋体"/>
          <w:color w:val="auto"/>
          <w:sz w:val="21"/>
          <w:szCs w:val="21"/>
          <w:highlight w:val="none"/>
        </w:rPr>
      </w:pPr>
      <w:bookmarkStart w:id="145" w:name="_Toc33106447"/>
      <w:bookmarkStart w:id="146" w:name="_Toc57795924"/>
      <w:r>
        <w:rPr>
          <w:rFonts w:hint="eastAsia" w:ascii="宋体" w:hAnsi="宋体" w:cs="宋体"/>
          <w:color w:val="auto"/>
          <w:sz w:val="21"/>
          <w:szCs w:val="21"/>
          <w:highlight w:val="none"/>
        </w:rPr>
        <w:t>3.2符合性审查</w:t>
      </w:r>
      <w:bookmarkEnd w:id="145"/>
      <w:bookmarkEnd w:id="146"/>
    </w:p>
    <w:p>
      <w:pPr>
        <w:pageBreakBefore w:val="0"/>
        <w:widowControl w:val="0"/>
        <w:kinsoku/>
        <w:wordWrap/>
        <w:overflowPunct/>
        <w:topLinePunct w:val="0"/>
        <w:bidi w:val="0"/>
        <w:snapToGrid/>
        <w:spacing w:line="400" w:lineRule="exact"/>
        <w:ind w:firstLine="413" w:firstLineChars="197"/>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2</w:t>
      </w:r>
      <w:r>
        <w:rPr>
          <w:rFonts w:ascii="宋体" w:hAnsi="宋体" w:cs="宋体"/>
          <w:color w:val="auto"/>
          <w:sz w:val="21"/>
          <w:szCs w:val="21"/>
          <w:highlight w:val="none"/>
        </w:rPr>
        <w:t>.1评标委员会依据本章第2.</w:t>
      </w:r>
      <w:r>
        <w:rPr>
          <w:rFonts w:hint="eastAsia" w:ascii="宋体" w:hAnsi="宋体" w:cs="宋体"/>
          <w:color w:val="auto"/>
          <w:sz w:val="21"/>
          <w:szCs w:val="21"/>
          <w:highlight w:val="none"/>
        </w:rPr>
        <w:t>2</w:t>
      </w:r>
      <w:r>
        <w:rPr>
          <w:rFonts w:ascii="宋体" w:hAnsi="宋体" w:cs="宋体"/>
          <w:color w:val="auto"/>
          <w:sz w:val="21"/>
          <w:szCs w:val="21"/>
          <w:highlight w:val="none"/>
        </w:rPr>
        <w:t xml:space="preserve"> </w:t>
      </w:r>
      <w:r>
        <w:rPr>
          <w:rFonts w:hint="eastAsia" w:ascii="宋体" w:hAnsi="宋体" w:cs="宋体"/>
          <w:color w:val="auto"/>
          <w:sz w:val="21"/>
          <w:szCs w:val="21"/>
          <w:highlight w:val="none"/>
        </w:rPr>
        <w:t>款规定的标准对</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进行符合性审查。符合性审查顺序：形式评审、资格评审、响应性评审。</w:t>
      </w:r>
    </w:p>
    <w:p>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2</w:t>
      </w:r>
      <w:r>
        <w:rPr>
          <w:rFonts w:ascii="宋体" w:hAnsi="宋体" w:cs="宋体"/>
          <w:color w:val="auto"/>
          <w:sz w:val="21"/>
          <w:szCs w:val="21"/>
          <w:highlight w:val="none"/>
        </w:rPr>
        <w:t xml:space="preserve">.2 </w:t>
      </w:r>
      <w:r>
        <w:rPr>
          <w:rFonts w:hint="eastAsia" w:ascii="宋体" w:hAnsi="宋体" w:cs="宋体"/>
          <w:color w:val="auto"/>
          <w:sz w:val="21"/>
          <w:szCs w:val="21"/>
          <w:highlight w:val="none"/>
          <w:lang w:eastAsia="zh-CN"/>
        </w:rPr>
        <w:t>报价人</w:t>
      </w:r>
      <w:r>
        <w:rPr>
          <w:rFonts w:ascii="宋体" w:hAnsi="宋体" w:cs="宋体"/>
          <w:color w:val="auto"/>
          <w:sz w:val="21"/>
          <w:szCs w:val="21"/>
          <w:highlight w:val="none"/>
        </w:rPr>
        <w:t>有以下情形之一的，</w:t>
      </w:r>
      <w:r>
        <w:rPr>
          <w:rFonts w:hint="eastAsia" w:ascii="宋体" w:hAnsi="宋体" w:cs="宋体"/>
          <w:color w:val="auto"/>
          <w:sz w:val="21"/>
          <w:szCs w:val="21"/>
          <w:highlight w:val="none"/>
        </w:rPr>
        <w:t>其</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将被否决：</w:t>
      </w:r>
    </w:p>
    <w:p>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（1</w:t>
      </w:r>
      <w:r>
        <w:rPr>
          <w:rFonts w:ascii="宋体" w:hAnsi="宋体" w:cs="宋体"/>
          <w:color w:val="auto"/>
          <w:sz w:val="21"/>
          <w:szCs w:val="21"/>
          <w:highlight w:val="none"/>
        </w:rPr>
        <w:t>）</w:t>
      </w:r>
      <w:r>
        <w:rPr>
          <w:rFonts w:hint="eastAsia" w:ascii="宋体" w:hAnsi="宋体" w:cs="宋体"/>
          <w:color w:val="auto"/>
          <w:sz w:val="21"/>
          <w:szCs w:val="21"/>
          <w:highlight w:val="none"/>
        </w:rPr>
        <w:t>本次投标有串通投标、弄虚作假等其他违反招投标相关法律、法规行为的；</w:t>
      </w:r>
    </w:p>
    <w:p>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（2）拒绝按评标委员会要求澄清、说明或补正的。</w:t>
      </w:r>
    </w:p>
    <w:p>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3.2.3 投标报价有算术错误的，评标委员会按以下原则对投标报价进行修正，修正的价格经</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书面确认后具有约束力，修正原则如下：</w:t>
      </w:r>
    </w:p>
    <w:p>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（1）</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中的大写金额与小写金额不一致的，以大写金额为准；</w:t>
      </w:r>
    </w:p>
    <w:p>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（2）响应声明书中的总报价与已标价采购清单总报价不一致的，由评标委员会作否决投标处理。</w:t>
      </w:r>
    </w:p>
    <w:p>
      <w:pPr>
        <w:pageBreakBefore w:val="0"/>
        <w:widowControl w:val="0"/>
        <w:kinsoku/>
        <w:wordWrap/>
        <w:overflowPunct/>
        <w:topLinePunct w:val="0"/>
        <w:bidi w:val="0"/>
        <w:snapToGrid/>
        <w:spacing w:before="0" w:after="0" w:line="400" w:lineRule="exact"/>
        <w:textAlignment w:val="auto"/>
        <w:outlineLvl w:val="9"/>
        <w:rPr>
          <w:rFonts w:ascii="宋体" w:hAnsi="宋体" w:cs="宋体"/>
          <w:color w:val="auto"/>
          <w:sz w:val="21"/>
          <w:szCs w:val="21"/>
          <w:highlight w:val="none"/>
        </w:rPr>
      </w:pPr>
      <w:bookmarkStart w:id="147" w:name="_Toc57795925"/>
      <w:bookmarkStart w:id="148" w:name="_Toc33106448"/>
      <w:r>
        <w:rPr>
          <w:rFonts w:hint="eastAsia" w:ascii="宋体" w:hAnsi="宋体" w:cs="宋体"/>
          <w:color w:val="auto"/>
          <w:sz w:val="21"/>
          <w:szCs w:val="21"/>
          <w:highlight w:val="none"/>
        </w:rPr>
        <w:t xml:space="preserve">3.3 </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的澄清和补正</w:t>
      </w:r>
      <w:bookmarkEnd w:id="147"/>
      <w:bookmarkEnd w:id="148"/>
    </w:p>
    <w:p>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3</w:t>
      </w:r>
      <w:r>
        <w:rPr>
          <w:rFonts w:ascii="宋体" w:hAnsi="宋体" w:cs="宋体"/>
          <w:color w:val="auto"/>
          <w:sz w:val="21"/>
          <w:szCs w:val="21"/>
          <w:highlight w:val="none"/>
        </w:rPr>
        <w:t xml:space="preserve">.1 </w:t>
      </w:r>
      <w:r>
        <w:rPr>
          <w:rFonts w:hint="eastAsia" w:ascii="宋体" w:hAnsi="宋体" w:cs="宋体"/>
          <w:color w:val="auto"/>
          <w:sz w:val="21"/>
          <w:szCs w:val="21"/>
          <w:highlight w:val="none"/>
        </w:rPr>
        <w:t>在评标过程中，评标委员会可以书面形式要求</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对所提交</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中不明确的内容进行书面澄清或说明，或者对细微偏差进行补正。评标委员会不接受</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主动提出的澄清、说明或补正。</w:t>
      </w:r>
    </w:p>
    <w:p>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3</w:t>
      </w:r>
      <w:r>
        <w:rPr>
          <w:rFonts w:ascii="宋体" w:hAnsi="宋体" w:cs="宋体"/>
          <w:color w:val="auto"/>
          <w:sz w:val="21"/>
          <w:szCs w:val="21"/>
          <w:highlight w:val="none"/>
        </w:rPr>
        <w:t xml:space="preserve">.2 </w:t>
      </w:r>
      <w:r>
        <w:rPr>
          <w:rFonts w:hint="eastAsia" w:ascii="宋体" w:hAnsi="宋体" w:cs="宋体"/>
          <w:color w:val="auto"/>
          <w:sz w:val="21"/>
          <w:szCs w:val="21"/>
          <w:highlight w:val="none"/>
        </w:rPr>
        <w:t>澄清、说明和补正不得改变</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的实质性内容（算术性错误修正的除外）。</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的书面澄清、说明和补正属于</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的组成部分。</w:t>
      </w:r>
    </w:p>
    <w:p>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3</w:t>
      </w:r>
      <w:r>
        <w:rPr>
          <w:rFonts w:ascii="宋体" w:hAnsi="宋体" w:cs="宋体"/>
          <w:color w:val="auto"/>
          <w:sz w:val="21"/>
          <w:szCs w:val="21"/>
          <w:highlight w:val="none"/>
        </w:rPr>
        <w:t xml:space="preserve">.3 </w:t>
      </w:r>
      <w:r>
        <w:rPr>
          <w:rFonts w:hint="eastAsia" w:ascii="宋体" w:hAnsi="宋体" w:cs="宋体"/>
          <w:color w:val="auto"/>
          <w:sz w:val="21"/>
          <w:szCs w:val="21"/>
          <w:highlight w:val="none"/>
        </w:rPr>
        <w:t>评标委员会对</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提交的澄清、说明或补正有疑问的，可以要求</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进一步澄清、说明或补正，直至满足评标委员会的要求。</w:t>
      </w:r>
    </w:p>
    <w:p>
      <w:pPr>
        <w:pageBreakBefore w:val="0"/>
        <w:widowControl w:val="0"/>
        <w:kinsoku/>
        <w:wordWrap/>
        <w:overflowPunct/>
        <w:topLinePunct w:val="0"/>
        <w:bidi w:val="0"/>
        <w:snapToGrid/>
        <w:spacing w:before="0" w:after="0" w:line="400" w:lineRule="exact"/>
        <w:textAlignment w:val="auto"/>
        <w:outlineLvl w:val="9"/>
        <w:rPr>
          <w:rFonts w:ascii="宋体" w:hAnsi="宋体" w:cs="宋体"/>
          <w:color w:val="auto"/>
          <w:sz w:val="21"/>
          <w:szCs w:val="21"/>
          <w:highlight w:val="none"/>
        </w:rPr>
      </w:pPr>
      <w:bookmarkStart w:id="149" w:name="_Toc484465184"/>
      <w:bookmarkStart w:id="150" w:name="_Toc33106449"/>
      <w:bookmarkStart w:id="151" w:name="_Toc57795926"/>
      <w:bookmarkStart w:id="152" w:name="_Toc479262406"/>
      <w:r>
        <w:rPr>
          <w:rFonts w:hint="eastAsia" w:ascii="宋体" w:hAnsi="宋体" w:cs="宋体"/>
          <w:color w:val="auto"/>
          <w:sz w:val="21"/>
          <w:szCs w:val="21"/>
          <w:highlight w:val="none"/>
        </w:rPr>
        <w:t>3.4 评标结果</w:t>
      </w:r>
      <w:bookmarkEnd w:id="149"/>
      <w:bookmarkEnd w:id="150"/>
      <w:bookmarkEnd w:id="151"/>
      <w:bookmarkEnd w:id="152"/>
    </w:p>
    <w:p>
      <w:pPr>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outlineLvl w:val="9"/>
        <w:rPr>
          <w:rFonts w:ascii="宋体" w:hAnsi="宋体" w:cs="宋体"/>
          <w:color w:val="auto"/>
          <w:kern w:val="0"/>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4</w:t>
      </w:r>
      <w:r>
        <w:rPr>
          <w:rFonts w:ascii="宋体" w:hAnsi="宋体" w:cs="宋体"/>
          <w:color w:val="auto"/>
          <w:sz w:val="21"/>
          <w:szCs w:val="21"/>
          <w:highlight w:val="none"/>
        </w:rPr>
        <w:t>.1</w:t>
      </w:r>
      <w:r>
        <w:rPr>
          <w:rFonts w:hint="eastAsia" w:ascii="宋体" w:hAnsi="宋体" w:cs="宋体"/>
          <w:color w:val="auto"/>
          <w:sz w:val="21"/>
          <w:szCs w:val="21"/>
          <w:highlight w:val="none"/>
        </w:rPr>
        <w:t xml:space="preserve"> 除第二章“</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须知”前附表授权直接确定中标人外，评标委员会按经评审的最低投标价法推荐中标候选人。</w:t>
      </w:r>
    </w:p>
    <w:p>
      <w:pPr>
        <w:pageBreakBefore w:val="0"/>
        <w:widowControl w:val="0"/>
        <w:kinsoku/>
        <w:wordWrap/>
        <w:overflowPunct/>
        <w:topLinePunct w:val="0"/>
        <w:bidi w:val="0"/>
        <w:snapToGrid/>
        <w:spacing w:line="400" w:lineRule="exact"/>
        <w:ind w:firstLine="420" w:firstLineChars="200"/>
        <w:jc w:val="left"/>
        <w:textAlignment w:val="auto"/>
        <w:outlineLvl w:val="9"/>
        <w:rPr>
          <w:rFonts w:ascii="宋体" w:hAnsi="宋体" w:cs="宋体"/>
          <w:color w:val="auto"/>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4</w:t>
      </w:r>
      <w:r>
        <w:rPr>
          <w:rFonts w:ascii="宋体" w:hAnsi="宋体" w:cs="宋体"/>
          <w:color w:val="auto"/>
          <w:sz w:val="21"/>
          <w:szCs w:val="21"/>
          <w:highlight w:val="none"/>
        </w:rPr>
        <w:t>.2</w:t>
      </w:r>
      <w:r>
        <w:rPr>
          <w:rFonts w:hint="eastAsia" w:ascii="宋体" w:hAnsi="宋体" w:cs="宋体"/>
          <w:color w:val="auto"/>
          <w:sz w:val="21"/>
          <w:szCs w:val="21"/>
          <w:highlight w:val="none"/>
        </w:rPr>
        <w:t xml:space="preserve"> 评标委员会完成评标后，应当向采购人提交书面评标报告和中标候选人名单。</w:t>
      </w:r>
    </w:p>
    <w:p>
      <w:pPr>
        <w:pageBreakBefore w:val="0"/>
        <w:widowControl w:val="0"/>
        <w:kinsoku/>
        <w:wordWrap/>
        <w:overflowPunct/>
        <w:topLinePunct w:val="0"/>
        <w:bidi w:val="0"/>
        <w:snapToGrid/>
        <w:spacing w:line="400" w:lineRule="exact"/>
        <w:ind w:firstLine="420" w:firstLineChars="200"/>
        <w:jc w:val="left"/>
        <w:textAlignment w:val="auto"/>
        <w:rPr>
          <w:rFonts w:ascii="宋体" w:hAnsi="宋体" w:cs="宋体"/>
          <w:color w:val="auto"/>
          <w:szCs w:val="21"/>
          <w:highlight w:val="none"/>
        </w:rPr>
      </w:pPr>
    </w:p>
    <w:p>
      <w:pPr>
        <w:rPr>
          <w:rStyle w:val="82"/>
          <w:color w:val="auto"/>
          <w:highlight w:val="none"/>
        </w:rPr>
      </w:pPr>
      <w:r>
        <w:rPr>
          <w:rFonts w:hint="eastAsia" w:ascii="宋体" w:hAnsi="宋体" w:cs="宋体"/>
          <w:color w:val="auto"/>
          <w:szCs w:val="21"/>
          <w:highlight w:val="none"/>
        </w:rPr>
        <w:br w:type="page"/>
      </w:r>
    </w:p>
    <w:p>
      <w:pPr>
        <w:pStyle w:val="3"/>
        <w:spacing w:before="0" w:after="0" w:line="360" w:lineRule="auto"/>
        <w:jc w:val="center"/>
        <w:rPr>
          <w:rFonts w:hint="default" w:ascii="宋体" w:hAnsi="宋体" w:eastAsia="宋体" w:cs="宋体"/>
          <w:color w:val="auto"/>
          <w:highlight w:val="none"/>
          <w:lang w:val="en-US" w:eastAsia="zh-CN"/>
        </w:rPr>
      </w:pPr>
      <w:bookmarkStart w:id="153" w:name="_Toc246997096"/>
      <w:bookmarkStart w:id="154" w:name="_Toc152042574"/>
      <w:bookmarkStart w:id="155" w:name="_Toc513633964"/>
      <w:bookmarkStart w:id="156" w:name="_Toc514858707"/>
      <w:bookmarkStart w:id="157" w:name="_Toc2000411"/>
      <w:bookmarkStart w:id="158" w:name="_Toc447827049"/>
      <w:bookmarkStart w:id="159" w:name="_Toc152045785"/>
      <w:bookmarkStart w:id="160" w:name="_Toc144974854"/>
      <w:bookmarkStart w:id="161" w:name="_Toc503951043"/>
      <w:bookmarkStart w:id="162" w:name="_Toc179632804"/>
      <w:bookmarkStart w:id="163" w:name="_Toc247085870"/>
      <w:bookmarkStart w:id="164" w:name="_Toc246996353"/>
      <w:bookmarkStart w:id="165" w:name="_Toc26193"/>
      <w:bookmarkStart w:id="166" w:name="_Toc144974855"/>
      <w:bookmarkStart w:id="167" w:name="_Toc246996354"/>
      <w:bookmarkStart w:id="168" w:name="_Toc246997097"/>
      <w:bookmarkStart w:id="169" w:name="_Toc179632806"/>
      <w:bookmarkStart w:id="170" w:name="_Toc152045786"/>
      <w:bookmarkStart w:id="171" w:name="_Toc247085872"/>
      <w:bookmarkStart w:id="172" w:name="_Toc152042575"/>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bookmarkEnd w:id="153"/>
      <w:bookmarkEnd w:id="154"/>
      <w:bookmarkEnd w:id="155"/>
      <w:bookmarkEnd w:id="156"/>
      <w:bookmarkEnd w:id="157"/>
      <w:bookmarkEnd w:id="158"/>
      <w:bookmarkEnd w:id="159"/>
      <w:bookmarkEnd w:id="160"/>
      <w:bookmarkEnd w:id="161"/>
      <w:bookmarkEnd w:id="162"/>
      <w:bookmarkEnd w:id="163"/>
      <w:bookmarkEnd w:id="164"/>
      <w:r>
        <w:rPr>
          <w:rFonts w:hint="eastAsia" w:ascii="宋体" w:hAnsi="宋体" w:cs="宋体"/>
          <w:color w:val="auto"/>
          <w:highlight w:val="none"/>
          <w:lang w:val="en-US" w:eastAsia="zh-CN"/>
        </w:rPr>
        <w:t>服务要求</w:t>
      </w:r>
      <w:bookmarkEnd w:id="165"/>
    </w:p>
    <w:bookmarkEnd w:id="166"/>
    <w:bookmarkEnd w:id="167"/>
    <w:bookmarkEnd w:id="168"/>
    <w:bookmarkEnd w:id="169"/>
    <w:bookmarkEnd w:id="170"/>
    <w:bookmarkEnd w:id="171"/>
    <w:bookmarkEnd w:id="172"/>
    <w:p>
      <w:pPr>
        <w:pStyle w:val="2"/>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outlineLvl w:val="0"/>
        <w:rPr>
          <w:rFonts w:hAnsi="宋体" w:cs="方正小标宋_GBK"/>
          <w:b/>
          <w:color w:val="auto"/>
          <w:sz w:val="44"/>
          <w:szCs w:val="44"/>
          <w:highlight w:val="none"/>
        </w:rPr>
      </w:pPr>
      <w:bookmarkStart w:id="173" w:name="_Toc514430114"/>
      <w:bookmarkStart w:id="174" w:name="_Toc2000412"/>
      <w:bookmarkStart w:id="175" w:name="_Toc514858708"/>
      <w:bookmarkStart w:id="176" w:name="_Toc144974856"/>
      <w:bookmarkStart w:id="177" w:name="_Toc152045787"/>
      <w:bookmarkStart w:id="178" w:name="_Toc247085873"/>
      <w:bookmarkStart w:id="179" w:name="_Toc152042576"/>
      <w:bookmarkStart w:id="180" w:name="_Toc246997098"/>
      <w:bookmarkStart w:id="181" w:name="_Toc179632807"/>
      <w:bookmarkStart w:id="182" w:name="_Toc507320039"/>
      <w:bookmarkStart w:id="183" w:name="_Toc246996355"/>
      <w:r>
        <w:rPr>
          <w:rFonts w:hint="eastAsia" w:ascii="宋体" w:hAnsi="宋体" w:cs="宋体"/>
          <w:color w:val="auto"/>
          <w:highlight w:val="none"/>
        </w:rPr>
        <w:br w:type="page"/>
      </w:r>
      <w:bookmarkStart w:id="184" w:name="_Toc2248"/>
      <w:r>
        <w:rPr>
          <w:rFonts w:hint="eastAsia" w:ascii="宋体" w:hAnsi="宋体" w:eastAsia="宋体" w:cs="宋体"/>
          <w:b/>
          <w:bCs/>
          <w:color w:val="auto"/>
          <w:kern w:val="44"/>
          <w:sz w:val="44"/>
          <w:szCs w:val="44"/>
          <w:highlight w:val="none"/>
          <w:lang w:val="en-US" w:eastAsia="zh-CN" w:bidi="ar-SA"/>
        </w:rPr>
        <w:t xml:space="preserve">第五章  </w:t>
      </w:r>
      <w:bookmarkEnd w:id="173"/>
      <w:bookmarkEnd w:id="174"/>
      <w:bookmarkEnd w:id="175"/>
      <w:r>
        <w:rPr>
          <w:rFonts w:hint="eastAsia" w:ascii="宋体" w:hAnsi="宋体" w:eastAsia="宋体" w:cs="宋体"/>
          <w:b/>
          <w:bCs/>
          <w:color w:val="auto"/>
          <w:kern w:val="44"/>
          <w:sz w:val="44"/>
          <w:szCs w:val="44"/>
          <w:highlight w:val="none"/>
          <w:lang w:val="en-US" w:eastAsia="zh-CN" w:bidi="ar-SA"/>
        </w:rPr>
        <w:t>合同范本</w:t>
      </w:r>
      <w:bookmarkEnd w:id="184"/>
    </w:p>
    <w:p>
      <w:pPr>
        <w:jc w:val="center"/>
        <w:rPr>
          <w:rFonts w:hint="eastAsia" w:ascii="仿宋" w:hAnsi="仿宋" w:eastAsia="仿宋" w:cs="仿宋"/>
          <w:color w:val="auto"/>
          <w:szCs w:val="21"/>
          <w:highlight w:val="none"/>
          <w:lang w:val="en-US" w:eastAsia="zh-CN"/>
        </w:rPr>
      </w:pPr>
    </w:p>
    <w:p>
      <w:pPr>
        <w:jc w:val="cente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t>详见随竞争性比选文件一同发布的附件合同</w:t>
      </w:r>
    </w:p>
    <w:p>
      <w:pP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br w:type="page"/>
      </w:r>
    </w:p>
    <w:p>
      <w:pPr>
        <w:rPr>
          <w:rFonts w:hint="eastAsia" w:ascii="Times New Roman" w:hAnsi="Times New Roman" w:eastAsia="宋体" w:cs="Times New Roman"/>
          <w:b/>
          <w:bCs/>
          <w:color w:val="auto"/>
          <w:sz w:val="21"/>
          <w:szCs w:val="15"/>
          <w:highlight w:val="none"/>
          <w:lang w:val="en-US" w:eastAsia="zh-CN"/>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履约保函</w:t>
      </w:r>
      <w:r>
        <w:rPr>
          <w:rFonts w:hint="eastAsia" w:ascii="Times New Roman" w:hAnsi="Times New Roman" w:cs="Times New Roman"/>
          <w:b/>
          <w:bCs/>
          <w:color w:val="auto"/>
          <w:sz w:val="21"/>
          <w:szCs w:val="15"/>
          <w:highlight w:val="none"/>
          <w:lang w:val="en-US" w:eastAsia="zh-CN"/>
        </w:rPr>
        <w:t>（如有）</w:t>
      </w:r>
    </w:p>
    <w:p>
      <w:pPr>
        <w:keepNext w:val="0"/>
        <w:keepLines w:val="0"/>
        <w:pageBreakBefore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履约保函示范文本</w:t>
      </w:r>
    </w:p>
    <w:p>
      <w:pPr>
        <w:keepNext w:val="0"/>
        <w:keepLines w:val="0"/>
        <w:pageBreakBefore w:val="0"/>
        <w:kinsoku/>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color w:val="auto"/>
          <w:sz w:val="21"/>
          <w:szCs w:val="21"/>
          <w:highlight w:val="none"/>
        </w:rPr>
      </w:pP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申请人：</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开立人：</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鉴于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 xml:space="preserve"> </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以下简称“受益人”）与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（以下简称“申请人”）就</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val="en-US" w:eastAsia="zh-CN"/>
        </w:rPr>
        <w:t>服务</w:t>
      </w:r>
      <w:r>
        <w:rPr>
          <w:rFonts w:hint="eastAsia" w:ascii="宋体" w:hAnsi="宋体" w:eastAsia="宋体" w:cs="宋体"/>
          <w:color w:val="auto"/>
          <w:kern w:val="2"/>
          <w:sz w:val="21"/>
          <w:szCs w:val="21"/>
          <w:highlight w:val="none"/>
        </w:rPr>
        <w:t>和有关事项协商一致，根据本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，了解到申请人为本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乙方</w:t>
      </w:r>
      <w:r>
        <w:rPr>
          <w:rFonts w:hint="eastAsia" w:ascii="宋体" w:hAnsi="宋体" w:eastAsia="宋体" w:cs="宋体"/>
          <w:color w:val="auto"/>
          <w:kern w:val="2"/>
          <w:sz w:val="21"/>
          <w:szCs w:val="21"/>
          <w:highlight w:val="none"/>
        </w:rPr>
        <w:t>、受益人为本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甲方</w:t>
      </w:r>
      <w:r>
        <w:rPr>
          <w:rFonts w:hint="eastAsia" w:ascii="宋体" w:hAnsi="宋体" w:eastAsia="宋体" w:cs="宋体"/>
          <w:color w:val="auto"/>
          <w:kern w:val="2"/>
          <w:sz w:val="21"/>
          <w:szCs w:val="21"/>
          <w:highlight w:val="none"/>
        </w:rPr>
        <w:t>，基于申请人的请求，我方（即“开立人”）同意就申请人履行本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依据中标通知书、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签订的</w:t>
      </w:r>
      <w:r>
        <w:rPr>
          <w:rFonts w:hint="eastAsia" w:ascii="宋体" w:hAnsi="宋体" w:eastAsia="宋体" w:cs="宋体"/>
          <w:color w:val="auto"/>
          <w:kern w:val="2"/>
          <w:sz w:val="21"/>
          <w:szCs w:val="21"/>
          <w:highlight w:val="none"/>
          <w:u w:val="single"/>
        </w:rPr>
        <w:t>《        》</w:t>
      </w:r>
      <w:r>
        <w:rPr>
          <w:rFonts w:hint="eastAsia" w:ascii="宋体" w:hAnsi="宋体" w:eastAsia="宋体" w:cs="宋体"/>
          <w:color w:val="auto"/>
          <w:kern w:val="2"/>
          <w:sz w:val="21"/>
          <w:szCs w:val="21"/>
          <w:highlight w:val="none"/>
        </w:rPr>
        <w:t>（以下简称“基础合同”）约定的义务，向贵方提供不可撤销、不可转让的见索即付保函（以下简称“本保函”）。</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一、本保函担保范围：</w:t>
      </w:r>
      <w:r>
        <w:rPr>
          <w:rFonts w:hint="eastAsia" w:ascii="宋体" w:hAnsi="宋体" w:eastAsia="宋体" w:cs="宋体"/>
          <w:color w:val="auto"/>
          <w:kern w:val="2"/>
          <w:sz w:val="21"/>
          <w:szCs w:val="21"/>
          <w:highlight w:val="none"/>
          <w:lang w:val="en-US" w:eastAsia="zh-CN"/>
        </w:rPr>
        <w:t>申请人</w:t>
      </w:r>
      <w:r>
        <w:rPr>
          <w:rFonts w:hint="eastAsia" w:ascii="宋体" w:hAnsi="宋体" w:eastAsia="宋体" w:cs="宋体"/>
          <w:color w:val="auto"/>
          <w:kern w:val="2"/>
          <w:sz w:val="21"/>
          <w:szCs w:val="21"/>
          <w:highlight w:val="none"/>
        </w:rPr>
        <w:t>未按照基础合同的约定履行义务，应当向</w:t>
      </w:r>
      <w:r>
        <w:rPr>
          <w:rFonts w:hint="eastAsia" w:ascii="宋体" w:hAnsi="宋体" w:eastAsia="宋体" w:cs="宋体"/>
          <w:color w:val="auto"/>
          <w:kern w:val="2"/>
          <w:sz w:val="21"/>
          <w:szCs w:val="21"/>
          <w:highlight w:val="none"/>
          <w:lang w:val="en-US" w:eastAsia="zh-CN"/>
        </w:rPr>
        <w:t>受益人</w:t>
      </w:r>
      <w:r>
        <w:rPr>
          <w:rFonts w:hint="eastAsia" w:ascii="宋体" w:hAnsi="宋体" w:eastAsia="宋体" w:cs="宋体"/>
          <w:color w:val="auto"/>
          <w:kern w:val="2"/>
          <w:sz w:val="21"/>
          <w:szCs w:val="21"/>
          <w:highlight w:val="none"/>
        </w:rPr>
        <w:t>承担的违约责任和赔偿因此造成的损失、利息、律师费、诉讼费用等实现债权的费用。</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二、本保函担保金额最高不超过人民币（大写）</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元（¥</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spacing w:val="6"/>
          <w:kern w:val="2"/>
          <w:sz w:val="21"/>
          <w:szCs w:val="21"/>
          <w:highlight w:val="none"/>
        </w:rPr>
      </w:pPr>
      <w:r>
        <w:rPr>
          <w:rFonts w:hint="eastAsia" w:ascii="宋体" w:hAnsi="宋体" w:eastAsia="宋体" w:cs="宋体"/>
          <w:color w:val="auto"/>
          <w:kern w:val="2"/>
          <w:sz w:val="21"/>
          <w:szCs w:val="21"/>
          <w:highlight w:val="none"/>
        </w:rPr>
        <w:t>三、</w:t>
      </w:r>
      <w:r>
        <w:rPr>
          <w:rFonts w:hint="eastAsia" w:ascii="宋体" w:hAnsi="宋体" w:eastAsia="宋体" w:cs="宋体"/>
          <w:color w:val="auto"/>
          <w:spacing w:val="6"/>
          <w:kern w:val="2"/>
          <w:sz w:val="21"/>
          <w:szCs w:val="21"/>
          <w:highlight w:val="none"/>
        </w:rPr>
        <w:t>本保函有效期自</w:t>
      </w:r>
      <w:r>
        <w:rPr>
          <w:rFonts w:hint="eastAsia" w:ascii="宋体" w:hAnsi="宋体" w:eastAsia="宋体" w:cs="宋体"/>
          <w:color w:val="auto"/>
          <w:spacing w:val="6"/>
          <w:kern w:val="2"/>
          <w:sz w:val="21"/>
          <w:szCs w:val="21"/>
          <w:highlight w:val="none"/>
          <w:lang w:eastAsia="zh-CN"/>
        </w:rPr>
        <w:t>受益人与申请人签订的合同生效之日</w:t>
      </w:r>
      <w:r>
        <w:rPr>
          <w:rFonts w:hint="eastAsia" w:ascii="宋体" w:hAnsi="宋体" w:eastAsia="宋体" w:cs="宋体"/>
          <w:color w:val="auto"/>
          <w:spacing w:val="0"/>
          <w:kern w:val="2"/>
          <w:sz w:val="21"/>
          <w:szCs w:val="21"/>
          <w:highlight w:val="none"/>
          <w:lang w:eastAsia="zh-CN"/>
        </w:rPr>
        <w:t>起至合同约定的</w:t>
      </w:r>
      <w:r>
        <w:rPr>
          <w:rFonts w:hint="eastAsia" w:ascii="宋体" w:hAnsi="宋体" w:eastAsia="宋体" w:cs="宋体"/>
          <w:color w:val="auto"/>
          <w:spacing w:val="0"/>
          <w:kern w:val="2"/>
          <w:sz w:val="21"/>
          <w:szCs w:val="21"/>
          <w:highlight w:val="none"/>
          <w:lang w:val="en-US" w:eastAsia="zh-CN"/>
        </w:rPr>
        <w:t>服务期限</w:t>
      </w:r>
      <w:r>
        <w:rPr>
          <w:rFonts w:hint="eastAsia" w:ascii="宋体" w:hAnsi="宋体" w:eastAsia="宋体" w:cs="宋体"/>
          <w:color w:val="auto"/>
          <w:spacing w:val="0"/>
          <w:kern w:val="2"/>
          <w:sz w:val="21"/>
          <w:szCs w:val="21"/>
          <w:highlight w:val="none"/>
          <w:lang w:eastAsia="zh-CN"/>
        </w:rPr>
        <w:t>截止日后</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rPr>
        <w:t>天</w:t>
      </w:r>
      <w:r>
        <w:rPr>
          <w:rFonts w:hint="eastAsia" w:ascii="宋体" w:hAnsi="宋体" w:eastAsia="宋体" w:cs="宋体"/>
          <w:color w:val="auto"/>
          <w:spacing w:val="0"/>
          <w:kern w:val="2"/>
          <w:sz w:val="21"/>
          <w:szCs w:val="21"/>
          <w:highlight w:val="none"/>
          <w:lang w:eastAsia="zh-CN"/>
        </w:rPr>
        <w:t>，最迟不超过</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年</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月</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日。</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四、我方承诺，在收到受益人发来的书面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w:t>
      </w:r>
      <w:r>
        <w:rPr>
          <w:rFonts w:hint="eastAsia" w:ascii="宋体" w:hAnsi="宋体" w:eastAsia="宋体" w:cs="宋体"/>
          <w:color w:val="auto"/>
          <w:kern w:val="2"/>
          <w:sz w:val="21"/>
          <w:szCs w:val="21"/>
          <w:highlight w:val="none"/>
          <w:lang w:eastAsia="zh-CN"/>
        </w:rPr>
        <w:t>和本保函原件</w:t>
      </w:r>
      <w:r>
        <w:rPr>
          <w:rFonts w:hint="eastAsia" w:ascii="宋体" w:hAnsi="宋体" w:eastAsia="宋体" w:cs="宋体"/>
          <w:color w:val="auto"/>
          <w:kern w:val="2"/>
          <w:sz w:val="21"/>
          <w:szCs w:val="21"/>
          <w:highlight w:val="none"/>
        </w:rPr>
        <w:t>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个工作日内无条件支付至受益人指定账户，前述书面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（3）载明申请人违反合同义务的条款和内容；</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（4）声明不存在合同文件约定或我国法律规定免除申请人或开立人支付责任的情形；</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（5）</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受益人发出的书面索赔通知应由其为鉴明受益人法定代表人（负责人）或授权代理人签名或盖个人名章并加盖公章。</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五、本保函项下的权利不得转让，不得设定担保。贵方未经我方书面同意转让本保函或其项下任何权利，对我方不发生法律效力。</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六、与本保函有关的基础合同不成立、不生效、无效、被撤销、被解除，不影响本保函的独立有效。</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七、贵方应在本保函到期后的</w:t>
      </w:r>
      <w:r>
        <w:rPr>
          <w:rFonts w:hint="eastAsia" w:ascii="宋体" w:hAnsi="宋体" w:eastAsia="宋体" w:cs="宋体"/>
          <w:color w:val="auto"/>
          <w:kern w:val="2"/>
          <w:sz w:val="21"/>
          <w:szCs w:val="21"/>
          <w:highlight w:val="none"/>
          <w:lang w:val="en-US" w:eastAsia="zh-CN"/>
        </w:rPr>
        <w:t>七个工作</w:t>
      </w:r>
      <w:r>
        <w:rPr>
          <w:rFonts w:hint="eastAsia" w:ascii="宋体" w:hAnsi="宋体" w:eastAsia="宋体" w:cs="宋体"/>
          <w:color w:val="auto"/>
          <w:kern w:val="2"/>
          <w:sz w:val="21"/>
          <w:szCs w:val="21"/>
          <w:highlight w:val="none"/>
        </w:rPr>
        <w:t>日内将本保函正本退回我方注销，但是不论贵方是否按此要求将本保函正本退回我方，我方在本保函项下的义务和责任均在保函有效期到期后自动消灭。</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八、本保函适用的法律为中华人民共和国法律，争议裁判管辖地为中华人民共和国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九、本保函自我方</w:t>
      </w:r>
      <w:r>
        <w:rPr>
          <w:rFonts w:hint="eastAsia" w:ascii="宋体" w:hAnsi="宋体" w:eastAsia="宋体" w:cs="宋体"/>
          <w:color w:val="auto"/>
          <w:kern w:val="2"/>
          <w:sz w:val="21"/>
          <w:szCs w:val="21"/>
          <w:highlight w:val="none"/>
          <w:lang w:eastAsia="zh-CN"/>
        </w:rPr>
        <w:t>法定代表人（单位负责人）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或盖个人名章并加盖公章或合同专用章之日起生效。</w:t>
      </w:r>
    </w:p>
    <w:p>
      <w:pPr>
        <w:keepNext w:val="0"/>
        <w:keepLines w:val="0"/>
        <w:pageBreakBefore w:val="0"/>
        <w:widowControl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val="en-US" w:eastAsia="zh-CN"/>
        </w:rPr>
        <w:t>十、</w:t>
      </w:r>
      <w:r>
        <w:rPr>
          <w:rFonts w:hint="eastAsia" w:ascii="宋体" w:hAnsi="宋体" w:eastAsia="宋体" w:cs="宋体"/>
          <w:color w:val="auto"/>
          <w:kern w:val="2"/>
          <w:sz w:val="21"/>
          <w:szCs w:val="21"/>
          <w:highlight w:val="none"/>
          <w:lang w:eastAsia="zh-CN"/>
        </w:rPr>
        <w:t>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p>
    <w:p>
      <w:pPr>
        <w:keepNext w:val="0"/>
        <w:keepLines w:val="0"/>
        <w:pageBreakBefore w:val="0"/>
        <w:widowControl w:val="0"/>
        <w:shd w:val="clear" w:color="auto" w:fill="auto"/>
        <w:kinsoku/>
        <w:wordWrap/>
        <w:topLinePunct w:val="0"/>
        <w:autoSpaceDE/>
        <w:autoSpaceDN/>
        <w:bidi w:val="0"/>
        <w:snapToGrid/>
        <w:spacing w:beforeLines="0" w:after="0" w:line="360" w:lineRule="auto"/>
        <w:jc w:val="both"/>
        <w:rPr>
          <w:rFonts w:hint="eastAsia" w:ascii="宋体" w:hAnsi="宋体" w:eastAsia="宋体" w:cs="宋体"/>
          <w:color w:val="auto"/>
          <w:kern w:val="2"/>
          <w:sz w:val="21"/>
          <w:szCs w:val="21"/>
          <w:highlight w:val="none"/>
          <w:lang w:val="en-US" w:eastAsia="zh-CN" w:bidi="ar-SA"/>
        </w:rPr>
      </w:pP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（公章）</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法定代表人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签名或盖个人名章</w:t>
      </w:r>
      <w:r>
        <w:rPr>
          <w:rFonts w:hint="eastAsia" w:ascii="宋体" w:hAnsi="宋体" w:eastAsia="宋体" w:cs="宋体"/>
          <w:color w:val="auto"/>
          <w:kern w:val="2"/>
          <w:sz w:val="21"/>
          <w:szCs w:val="21"/>
          <w:highlight w:val="none"/>
        </w:rPr>
        <w:t>）</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single"/>
          <w:lang w:val="en-US" w:eastAsia="zh-CN"/>
        </w:rPr>
      </w:pPr>
      <w:r>
        <w:rPr>
          <w:rFonts w:hint="eastAsia" w:ascii="宋体" w:hAnsi="宋体" w:eastAsia="宋体" w:cs="宋体"/>
          <w:color w:val="auto"/>
          <w:kern w:val="2"/>
          <w:sz w:val="21"/>
          <w:szCs w:val="21"/>
          <w:highlight w:val="none"/>
        </w:rPr>
        <w:t xml:space="preserve">地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pPr>
        <w:jc w:val="right"/>
        <w:rPr>
          <w:rFonts w:hint="eastAsia" w:ascii="宋体" w:hAnsi="宋体" w:eastAsia="宋体" w:cs="宋体"/>
          <w:color w:val="auto"/>
          <w:kern w:val="2"/>
          <w:sz w:val="21"/>
          <w:szCs w:val="21"/>
          <w:highlight w:val="none"/>
        </w:rPr>
      </w:pPr>
    </w:p>
    <w:p>
      <w:pPr>
        <w:wordWrap w:val="0"/>
        <w:jc w:val="right"/>
        <w:rPr>
          <w:rFonts w:hint="eastAsia" w:ascii="宋体" w:hAnsi="宋体" w:eastAsia="宋体" w:cs="宋体"/>
          <w:color w:val="auto"/>
          <w:sz w:val="21"/>
          <w:szCs w:val="21"/>
          <w:highlight w:val="none"/>
          <w:lang w:eastAsia="zh-CN"/>
        </w:rPr>
      </w:pPr>
      <w:r>
        <w:rPr>
          <w:rFonts w:hint="eastAsia" w:ascii="宋体" w:hAnsi="宋体" w:eastAsia="宋体" w:cs="宋体"/>
          <w:color w:val="auto"/>
          <w:kern w:val="2"/>
          <w:sz w:val="21"/>
          <w:szCs w:val="21"/>
          <w:highlight w:val="none"/>
        </w:rPr>
        <w:t xml:space="preserve">开立时间：    年    月    </w:t>
      </w:r>
      <w:r>
        <w:rPr>
          <w:rFonts w:hint="eastAsia" w:ascii="宋体" w:hAnsi="宋体" w:eastAsia="宋体" w:cs="宋体"/>
          <w:color w:val="auto"/>
          <w:sz w:val="21"/>
          <w:szCs w:val="21"/>
          <w:highlight w:val="none"/>
          <w:lang w:eastAsia="zh-CN"/>
        </w:rPr>
        <w:t>日</w:t>
      </w:r>
    </w:p>
    <w:p>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br w:type="page"/>
      </w:r>
    </w:p>
    <w:p>
      <w:pPr>
        <w:spacing w:line="360" w:lineRule="auto"/>
        <w:jc w:val="both"/>
        <w:rPr>
          <w:rFonts w:hint="eastAsia" w:asciiTheme="minorEastAsia" w:hAnsiTheme="minorEastAsia" w:eastAsiaTheme="minorEastAsia" w:cstheme="minorEastAsia"/>
          <w:color w:val="auto"/>
          <w:szCs w:val="21"/>
          <w:highlight w:val="none"/>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低价风险担保保函</w:t>
      </w:r>
      <w:r>
        <w:rPr>
          <w:rFonts w:hint="eastAsia" w:ascii="Times New Roman" w:hAnsi="Times New Roman" w:cs="Times New Roman"/>
          <w:b/>
          <w:bCs/>
          <w:color w:val="auto"/>
          <w:sz w:val="21"/>
          <w:szCs w:val="15"/>
          <w:highlight w:val="none"/>
          <w:lang w:val="en-US" w:eastAsia="zh-CN"/>
        </w:rPr>
        <w:t>（如有）</w:t>
      </w:r>
    </w:p>
    <w:p>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低价风险担保保函示范文本</w:t>
      </w:r>
    </w:p>
    <w:p>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（独立保函）</w:t>
      </w:r>
    </w:p>
    <w:p>
      <w:pPr>
        <w:wordWrap w:val="0"/>
        <w:spacing w:line="360" w:lineRule="auto"/>
        <w:jc w:val="righ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编号：           </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申请人：</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开立人：</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w:t>
      </w:r>
    </w:p>
    <w:p>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（受益人名称）： </w:t>
      </w:r>
    </w:p>
    <w:p>
      <w:pPr>
        <w:pStyle w:val="2"/>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鉴于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（以下简称“申请人”）于 </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日参加</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（以下简称“受益人”）的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（项目名称）的</w:t>
      </w:r>
      <w:r>
        <w:rPr>
          <w:rFonts w:hint="eastAsia" w:asciiTheme="minorEastAsia" w:hAnsiTheme="minorEastAsia" w:eastAsiaTheme="minorEastAsia" w:cstheme="minorEastAsia"/>
          <w:color w:val="auto"/>
          <w:szCs w:val="21"/>
          <w:highlight w:val="none"/>
          <w:lang w:val="en-US" w:eastAsia="zh-CN"/>
        </w:rPr>
        <w:t>竞争性比选</w:t>
      </w:r>
      <w:r>
        <w:rPr>
          <w:rFonts w:hint="eastAsia" w:asciiTheme="minorEastAsia" w:hAnsiTheme="minorEastAsia" w:eastAsiaTheme="minorEastAsia" w:cstheme="minorEastAsia"/>
          <w:color w:val="auto"/>
          <w:szCs w:val="21"/>
          <w:highlight w:val="none"/>
        </w:rPr>
        <w:t>，收到受益人于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日签发的中标通知书，成为该项目的中标人。基于申请人的请求，我方同意就申请人履行该项目中标通知书、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约定的义务，向贵方提供不可撤销、不可转让的见索即付独立保函（以下简称“本保函”）。</w:t>
      </w:r>
    </w:p>
    <w:p>
      <w:pPr>
        <w:pStyle w:val="2"/>
        <w:numPr>
          <w:ilvl w:val="0"/>
          <w:numId w:val="3"/>
        </w:numPr>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本保函担保范围：申请人未按照中标通知书、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约定签订合同或未按签订的合同约定履行相关义务，应当向贵方承担的违约责任和赔偿因此造成的损失、利息、律师费、诉讼费用等实现债权的费用。</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二、本保函担保金额最高不超过人民币（大写）</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元（¥</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三、本保函有效期自开立之日起至合同约定的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日止，最迟不超过</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日。 </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四、我方承诺，在收到受益人发来的书面付款通知后的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工作日内无条件支付，前述书面付款通知即为付款要求之单据，且应满足以下要求：</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（1）付款通知到达的日期在本保函的有效期内；</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（2）载明要求支付的金额；</w:t>
      </w:r>
    </w:p>
    <w:p>
      <w:pPr>
        <w:spacing w:line="360" w:lineRule="auto"/>
        <w:ind w:firstLine="420" w:firstLineChars="200"/>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（3）载明申请人未按照中标通知书、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约定签订合同或违反合同义务的条款和内容；</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（4）付款通知中应声明不存在</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约定、合同文件约定或我国法律规定免除申请人或开立人支付责任的情形；</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（5）付款通知应在本保函有效期内到达的地址是：</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受益人发出的书面付款通知应由其为鉴明受益人法定代表人（负责人）或授权代理人签名加盖公章。</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五、本保函项下的权利不得转让，不得设定担保。贵方未经我方书面同意转让本保函或其项下任何权利，对我方不发生法律效力。 </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六、与本保函有关的合同不成立、不生效、无效、被撤销、被解除，不影响本保函的独立有效。 </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八、本保函适用的法律为中华人民共和国法律，争议裁判管辖地为中华人民共和国</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九、本保函自我方法定代表人或授权代表签名并加盖公章之日起生效。 </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开 立 人：                              （公章） </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法定代表人（或授权代表）：              （签名） </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地    址：                                       </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邮政编码：                 </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电    话：                 </w:t>
      </w:r>
    </w:p>
    <w:p>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传    真：                 </w:t>
      </w:r>
    </w:p>
    <w:p>
      <w:pPr>
        <w:spacing w:line="360" w:lineRule="auto"/>
        <w:ind w:firstLine="420" w:firstLineChars="200"/>
        <w:rPr>
          <w:color w:val="auto"/>
          <w:highlight w:val="none"/>
        </w:rPr>
      </w:pPr>
      <w:r>
        <w:rPr>
          <w:rFonts w:hint="eastAsia" w:asciiTheme="minorEastAsia" w:hAnsiTheme="minorEastAsia" w:eastAsiaTheme="minorEastAsia" w:cstheme="minorEastAsia"/>
          <w:color w:val="auto"/>
          <w:szCs w:val="21"/>
          <w:highlight w:val="none"/>
        </w:rPr>
        <w:t>开立时间：      年      月</w:t>
      </w:r>
      <w:r>
        <w:rPr>
          <w:rFonts w:hint="eastAsia" w:asciiTheme="minorEastAsia" w:hAnsiTheme="minorEastAsia" w:eastAsiaTheme="minorEastAsia" w:cstheme="minorEastAsia"/>
          <w:color w:val="auto"/>
          <w:szCs w:val="21"/>
          <w:highlight w:val="none"/>
          <w:lang w:val="en-US" w:eastAsia="zh-CN"/>
        </w:rPr>
        <w:t xml:space="preserve">      日</w:t>
      </w:r>
    </w:p>
    <w:p>
      <w:pPr>
        <w:jc w:val="center"/>
        <w:rPr>
          <w:rFonts w:hint="eastAsia" w:ascii="仿宋" w:hAnsi="仿宋" w:eastAsia="仿宋" w:cs="仿宋"/>
          <w:b/>
          <w:bCs/>
          <w:color w:val="auto"/>
          <w:szCs w:val="21"/>
          <w:highlight w:val="none"/>
          <w:lang w:val="en-US" w:eastAsia="zh-CN"/>
        </w:rPr>
      </w:pPr>
    </w:p>
    <w:p>
      <w:pPr>
        <w:rPr>
          <w:rFonts w:ascii="宋体" w:hAnsi="宋体" w:cs="宋体"/>
          <w:color w:val="auto"/>
          <w:highlight w:val="none"/>
        </w:rPr>
      </w:pPr>
    </w:p>
    <w:p>
      <w:pPr>
        <w:rPr>
          <w:rFonts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bookmarkStart w:id="185" w:name="_Toc513633965"/>
    </w:p>
    <w:p>
      <w:pPr>
        <w:rPr>
          <w:rFonts w:ascii="宋体" w:hAnsi="宋体" w:cs="宋体"/>
          <w:color w:val="auto"/>
          <w:highlight w:val="none"/>
        </w:rPr>
      </w:pPr>
    </w:p>
    <w:p>
      <w:pPr>
        <w:pStyle w:val="3"/>
        <w:spacing w:before="0" w:after="0" w:line="360" w:lineRule="auto"/>
        <w:jc w:val="center"/>
        <w:rPr>
          <w:rFonts w:ascii="宋体" w:hAnsi="宋体" w:cs="宋体"/>
          <w:color w:val="auto"/>
          <w:highlight w:val="none"/>
        </w:rPr>
      </w:pPr>
      <w:bookmarkStart w:id="186" w:name="_Toc11294"/>
      <w:bookmarkStart w:id="187" w:name="_Toc2000413"/>
      <w:bookmarkStart w:id="188" w:name="_Toc514858709"/>
      <w:r>
        <w:rPr>
          <w:rFonts w:hint="eastAsia" w:ascii="宋体" w:hAnsi="宋体" w:cs="宋体"/>
          <w:color w:val="auto"/>
          <w:highlight w:val="none"/>
        </w:rPr>
        <w:t>第</w:t>
      </w:r>
      <w:r>
        <w:rPr>
          <w:rFonts w:hint="eastAsia" w:ascii="宋体" w:hAnsi="宋体" w:cs="宋体"/>
          <w:color w:val="auto"/>
          <w:highlight w:val="none"/>
          <w:lang w:val="en-US" w:eastAsia="zh-CN"/>
        </w:rPr>
        <w:t>六</w:t>
      </w:r>
      <w:r>
        <w:rPr>
          <w:rFonts w:hint="eastAsia" w:ascii="宋体" w:hAnsi="宋体" w:cs="宋体"/>
          <w:color w:val="auto"/>
          <w:highlight w:val="none"/>
        </w:rPr>
        <w:t>章  竞争性比选响应文件格式</w:t>
      </w:r>
      <w:bookmarkEnd w:id="185"/>
      <w:bookmarkEnd w:id="186"/>
      <w:bookmarkEnd w:id="187"/>
      <w:bookmarkEnd w:id="188"/>
    </w:p>
    <w:p>
      <w:pPr>
        <w:rPr>
          <w:rFonts w:ascii="宋体" w:hAnsi="宋体" w:cs="宋体"/>
          <w:color w:val="auto"/>
          <w:highlight w:val="none"/>
        </w:rPr>
      </w:pPr>
    </w:p>
    <w:p>
      <w:pPr>
        <w:rPr>
          <w:rFonts w:ascii="宋体" w:hAnsi="宋体" w:cs="宋体"/>
          <w:color w:val="auto"/>
          <w:highlight w:val="none"/>
        </w:rPr>
        <w:sectPr>
          <w:pgSz w:w="11906" w:h="16838"/>
          <w:pgMar w:top="1440" w:right="1803" w:bottom="1440" w:left="1803" w:header="851" w:footer="992" w:gutter="0"/>
          <w:cols w:space="720" w:num="1"/>
          <w:titlePg/>
          <w:docGrid w:type="lines" w:linePitch="319" w:charSpace="0"/>
        </w:sectPr>
      </w:pPr>
    </w:p>
    <w:p>
      <w:pPr>
        <w:rPr>
          <w:rFonts w:ascii="宋体" w:hAnsi="宋体" w:cs="宋体"/>
          <w:color w:val="auto"/>
          <w:highlight w:val="none"/>
        </w:rPr>
      </w:pPr>
    </w:p>
    <w:p>
      <w:pPr>
        <w:jc w:val="center"/>
        <w:rPr>
          <w:rFonts w:ascii="宋体" w:hAnsi="宋体" w:cs="宋体"/>
          <w:color w:val="auto"/>
          <w:sz w:val="52"/>
          <w:szCs w:val="52"/>
          <w:highlight w:val="none"/>
          <w:u w:val="single"/>
        </w:rPr>
      </w:pPr>
      <w:bookmarkStart w:id="189" w:name="_Toc503971829"/>
      <w:bookmarkStart w:id="190" w:name="_Toc513633967"/>
      <w:bookmarkStart w:id="191" w:name="_Toc513646738"/>
      <w:bookmarkStart w:id="192" w:name="_Toc503951046"/>
      <w:bookmarkStart w:id="193" w:name="_Toc514858710"/>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189"/>
      <w:bookmarkEnd w:id="190"/>
      <w:bookmarkEnd w:id="191"/>
      <w:bookmarkEnd w:id="192"/>
      <w:bookmarkEnd w:id="193"/>
      <w:r>
        <w:rPr>
          <w:rFonts w:hint="eastAsia" w:ascii="宋体" w:hAnsi="宋体" w:cs="宋体"/>
          <w:color w:val="auto"/>
          <w:sz w:val="52"/>
          <w:szCs w:val="52"/>
          <w:highlight w:val="none"/>
          <w:u w:val="single"/>
        </w:rPr>
        <w:t xml:space="preserve"> </w:t>
      </w:r>
    </w:p>
    <w:p>
      <w:pPr>
        <w:rPr>
          <w:rFonts w:ascii="宋体" w:hAnsi="宋体" w:cs="宋体"/>
          <w:color w:val="auto"/>
          <w:sz w:val="20"/>
          <w:szCs w:val="20"/>
          <w:highlight w:val="none"/>
        </w:rPr>
      </w:pPr>
    </w:p>
    <w:p>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pPr>
        <w:jc w:val="center"/>
        <w:rPr>
          <w:rFonts w:ascii="宋体" w:hAnsi="宋体" w:cs="宋体"/>
          <w:b/>
          <w:color w:val="auto"/>
          <w:sz w:val="32"/>
          <w:szCs w:val="32"/>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pStyle w:val="28"/>
        <w:rPr>
          <w:color w:val="auto"/>
          <w:highlight w:val="none"/>
        </w:rPr>
      </w:pPr>
    </w:p>
    <w:p>
      <w:pPr>
        <w:rPr>
          <w:color w:val="auto"/>
          <w:highlight w:val="none"/>
        </w:rPr>
      </w:pPr>
    </w:p>
    <w:p>
      <w:pPr>
        <w:pStyle w:val="28"/>
        <w:rPr>
          <w:color w:val="auto"/>
          <w:highlight w:val="none"/>
        </w:rPr>
      </w:pPr>
    </w:p>
    <w:p>
      <w:pPr>
        <w:rPr>
          <w:color w:val="auto"/>
          <w:highlight w:val="none"/>
        </w:rPr>
      </w:pPr>
    </w:p>
    <w:p>
      <w:pPr>
        <w:pStyle w:val="28"/>
        <w:rPr>
          <w:color w:val="auto"/>
          <w:highlight w:val="none"/>
        </w:rPr>
      </w:pPr>
    </w:p>
    <w:p>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（盖单位公章）</w:t>
      </w:r>
    </w:p>
    <w:p>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lang w:val="en-US" w:eastAsia="zh-CN"/>
        </w:rPr>
        <w:t>或盖章</w:t>
      </w:r>
      <w:r>
        <w:rPr>
          <w:rFonts w:hint="eastAsia" w:ascii="宋体" w:hAnsi="宋体" w:cs="宋体"/>
          <w:color w:val="auto"/>
          <w:sz w:val="28"/>
          <w:szCs w:val="28"/>
          <w:highlight w:val="none"/>
        </w:rPr>
        <w:t>）</w:t>
      </w:r>
    </w:p>
    <w:p>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32"/>
          <w:szCs w:val="40"/>
          <w:highlight w:val="none"/>
        </w:rPr>
      </w:pPr>
      <w:bookmarkStart w:id="194" w:name="_Toc28780"/>
      <w:bookmarkStart w:id="195" w:name="_Toc5459"/>
      <w:bookmarkStart w:id="196" w:name="_Toc1368"/>
      <w:bookmarkStart w:id="197" w:name="_Toc11329273"/>
      <w:r>
        <w:rPr>
          <w:rFonts w:hint="eastAsia" w:ascii="宋体" w:hAnsi="宋体" w:eastAsia="宋体" w:cs="宋体"/>
          <w:color w:val="auto"/>
          <w:sz w:val="32"/>
          <w:szCs w:val="40"/>
          <w:highlight w:val="none"/>
        </w:rPr>
        <w:t>目    录</w:t>
      </w:r>
      <w:bookmarkEnd w:id="176"/>
      <w:bookmarkEnd w:id="177"/>
      <w:bookmarkEnd w:id="178"/>
      <w:bookmarkEnd w:id="179"/>
      <w:bookmarkEnd w:id="180"/>
      <w:bookmarkEnd w:id="181"/>
      <w:bookmarkEnd w:id="182"/>
      <w:bookmarkEnd w:id="183"/>
      <w:bookmarkEnd w:id="194"/>
      <w:bookmarkEnd w:id="195"/>
      <w:bookmarkEnd w:id="196"/>
      <w:bookmarkEnd w:id="197"/>
    </w:p>
    <w:p>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一、</w:t>
      </w:r>
      <w:r>
        <w:rPr>
          <w:rFonts w:hint="eastAsia" w:ascii="宋体" w:hAnsi="宋体" w:cs="宋体"/>
          <w:color w:val="auto"/>
          <w:highlight w:val="none"/>
        </w:rPr>
        <w:t>竞争性响应声明书</w:t>
      </w:r>
    </w:p>
    <w:p>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二、</w:t>
      </w:r>
      <w:r>
        <w:rPr>
          <w:rFonts w:ascii="宋体" w:hAnsi="宋体" w:cs="宋体"/>
          <w:color w:val="auto"/>
          <w:highlight w:val="none"/>
        </w:rPr>
        <w:t>法定代表人身份证明或法定代表人授权委托书</w:t>
      </w:r>
    </w:p>
    <w:p>
      <w:pPr>
        <w:spacing w:line="400" w:lineRule="exact"/>
        <w:rPr>
          <w:rFonts w:ascii="宋体" w:hAnsi="宋体" w:cs="宋体"/>
          <w:color w:val="auto"/>
          <w:highlight w:val="none"/>
        </w:rPr>
      </w:pPr>
      <w:r>
        <w:rPr>
          <w:rFonts w:hint="eastAsia" w:ascii="宋体" w:hAnsi="宋体" w:cs="宋体"/>
          <w:color w:val="auto"/>
          <w:highlight w:val="none"/>
        </w:rPr>
        <w:t>三、报价一览表</w:t>
      </w:r>
    </w:p>
    <w:p>
      <w:pPr>
        <w:spacing w:line="400" w:lineRule="exact"/>
        <w:rPr>
          <w:rFonts w:ascii="宋体" w:hAnsi="宋体" w:cs="宋体"/>
          <w:color w:val="auto"/>
          <w:highlight w:val="none"/>
        </w:rPr>
      </w:pPr>
      <w:r>
        <w:rPr>
          <w:rFonts w:hint="eastAsia" w:ascii="宋体" w:hAnsi="宋体" w:cs="宋体"/>
          <w:color w:val="auto"/>
          <w:highlight w:val="none"/>
        </w:rPr>
        <w:t>四、资格审查资料</w:t>
      </w:r>
    </w:p>
    <w:p>
      <w:pPr>
        <w:spacing w:line="400" w:lineRule="exact"/>
        <w:rPr>
          <w:rFonts w:hint="eastAsia" w:ascii="宋体" w:hAnsi="宋体" w:cs="宋体"/>
          <w:color w:val="auto"/>
          <w:szCs w:val="21"/>
          <w:highlight w:val="none"/>
        </w:rPr>
      </w:pPr>
      <w:r>
        <w:rPr>
          <w:rFonts w:hint="eastAsia" w:ascii="宋体" w:hAnsi="宋体" w:cs="宋体"/>
          <w:color w:val="auto"/>
          <w:highlight w:val="none"/>
        </w:rPr>
        <w:t>五、</w:t>
      </w:r>
      <w:r>
        <w:rPr>
          <w:rFonts w:hint="eastAsia" w:ascii="宋体" w:hAnsi="宋体" w:cs="宋体"/>
          <w:color w:val="auto"/>
          <w:szCs w:val="21"/>
          <w:highlight w:val="none"/>
        </w:rPr>
        <w:t>报价人承诺</w:t>
      </w:r>
    </w:p>
    <w:p>
      <w:pPr>
        <w:spacing w:line="400" w:lineRule="exact"/>
        <w:rPr>
          <w:rFonts w:ascii="宋体" w:hAnsi="宋体" w:cs="宋体"/>
          <w:color w:val="auto"/>
          <w:szCs w:val="21"/>
          <w:highlight w:val="none"/>
        </w:rPr>
      </w:pPr>
      <w:r>
        <w:rPr>
          <w:rFonts w:hint="eastAsia" w:ascii="宋体" w:hAnsi="宋体" w:cs="宋体"/>
          <w:color w:val="auto"/>
          <w:szCs w:val="21"/>
          <w:highlight w:val="none"/>
        </w:rPr>
        <w:t>六、报价人其他资料</w:t>
      </w: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r>
        <w:rPr>
          <w:rFonts w:ascii="宋体" w:hAnsi="宋体" w:cs="宋体"/>
          <w:color w:val="auto"/>
          <w:highlight w:val="none"/>
        </w:rPr>
        <w:br w:type="page"/>
      </w:r>
    </w:p>
    <w:p>
      <w:pPr>
        <w:pStyle w:val="4"/>
        <w:numPr>
          <w:ilvl w:val="0"/>
          <w:numId w:val="4"/>
        </w:numPr>
        <w:spacing w:before="0" w:after="0" w:line="360" w:lineRule="auto"/>
        <w:jc w:val="center"/>
        <w:rPr>
          <w:rFonts w:ascii="宋体" w:hAnsi="宋体" w:eastAsia="宋体" w:cs="宋体"/>
          <w:color w:val="auto"/>
          <w:sz w:val="28"/>
          <w:highlight w:val="none"/>
        </w:rPr>
      </w:pPr>
      <w:bookmarkStart w:id="198" w:name="_Toc8599"/>
      <w:bookmarkStart w:id="199" w:name="_Toc25874"/>
      <w:bookmarkStart w:id="200" w:name="_Toc29547"/>
      <w:bookmarkStart w:id="201" w:name="_Toc15863"/>
      <w:bookmarkStart w:id="202" w:name="_Toc513633969"/>
      <w:bookmarkStart w:id="203" w:name="_Toc503951048"/>
      <w:bookmarkStart w:id="204" w:name="_Toc447827053"/>
      <w:r>
        <w:rPr>
          <w:rFonts w:hint="eastAsia" w:ascii="宋体" w:hAnsi="宋体" w:eastAsia="宋体" w:cs="宋体"/>
          <w:color w:val="auto"/>
          <w:sz w:val="28"/>
          <w:highlight w:val="none"/>
        </w:rPr>
        <w:t>竞争比选响应声明书</w:t>
      </w:r>
      <w:bookmarkEnd w:id="198"/>
      <w:bookmarkEnd w:id="199"/>
      <w:bookmarkEnd w:id="200"/>
      <w:bookmarkEnd w:id="201"/>
    </w:p>
    <w:p>
      <w:pPr>
        <w:rPr>
          <w:color w:val="auto"/>
          <w:highlight w:val="none"/>
        </w:rPr>
      </w:pPr>
    </w:p>
    <w:p>
      <w:pPr>
        <w:tabs>
          <w:tab w:val="left" w:pos="900"/>
        </w:tabs>
        <w:spacing w:line="360" w:lineRule="auto"/>
        <w:rPr>
          <w:rFonts w:hint="eastAsia" w:ascii="Arial" w:hAnsi="Arial" w:eastAsia="宋体" w:cs="Arial"/>
          <w:b/>
          <w:bCs/>
          <w:color w:val="auto"/>
          <w:sz w:val="24"/>
          <w:highlight w:val="none"/>
          <w:u w:val="single"/>
          <w:lang w:eastAsia="zh-CN"/>
        </w:rPr>
      </w:pPr>
      <w:r>
        <w:rPr>
          <w:rFonts w:hint="eastAsia" w:ascii="Arial" w:hAnsi="Arial" w:cs="Arial"/>
          <w:b/>
          <w:color w:val="auto"/>
          <w:sz w:val="24"/>
          <w:highlight w:val="none"/>
        </w:rPr>
        <w:t>致：</w:t>
      </w:r>
      <w:r>
        <w:rPr>
          <w:rFonts w:hint="eastAsia" w:ascii="Arial" w:hAnsi="Arial" w:cs="Arial"/>
          <w:b/>
          <w:bCs/>
          <w:color w:val="auto"/>
          <w:sz w:val="24"/>
          <w:highlight w:val="none"/>
          <w:u w:val="single"/>
          <w:lang w:eastAsia="zh-CN"/>
        </w:rPr>
        <w:t>重庆首讯科技股份有限公司数智系统运维分公司</w:t>
      </w:r>
    </w:p>
    <w:p>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bookmarkStart w:id="205" w:name="_Toc27815"/>
      <w:bookmarkStart w:id="206" w:name="_Toc491883232"/>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（项目名称）</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文件要求的</w:t>
      </w:r>
      <w:r>
        <w:rPr>
          <w:rFonts w:hint="eastAsia" w:asciiTheme="minorEastAsia" w:hAnsiTheme="minorEastAsia" w:eastAsiaTheme="minorEastAsia" w:cstheme="minorEastAsia"/>
          <w:color w:val="auto"/>
          <w:sz w:val="24"/>
          <w:highlight w:val="none"/>
          <w:u w:val="single"/>
          <w:lang w:val="en-US" w:eastAsia="zh-CN"/>
        </w:rPr>
        <w:t>服务内容。服务地点达到竞争性比选文件要求，服务期限达到竞争性比选文件要求，服务要求达到竞争性比选文件要求</w:t>
      </w:r>
      <w:r>
        <w:rPr>
          <w:rFonts w:hint="eastAsia" w:asciiTheme="minorEastAsia" w:hAnsiTheme="minorEastAsia" w:eastAsiaTheme="minorEastAsia" w:cstheme="minorEastAsia"/>
          <w:color w:val="auto"/>
          <w:sz w:val="24"/>
          <w:highlight w:val="none"/>
          <w:u w:val="single"/>
        </w:rPr>
        <w:t>。</w:t>
      </w:r>
    </w:p>
    <w:p>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pPr>
        <w:keepNext w:val="0"/>
        <w:keepLines w:val="0"/>
        <w:pageBreakBefore w:val="0"/>
        <w:widowControl w:val="0"/>
        <w:tabs>
          <w:tab w:val="left" w:pos="900"/>
        </w:tabs>
        <w:kinsoku/>
        <w:wordWrap/>
        <w:overflowPunct/>
        <w:topLinePunct w:val="0"/>
        <w:autoSpaceDE/>
        <w:autoSpaceDN/>
        <w:bidi w:val="0"/>
        <w:adjustRightInd/>
        <w:snapToGrid/>
        <w:spacing w:before="320" w:beforeLines="100" w:line="480" w:lineRule="auto"/>
        <w:ind w:firstLine="480" w:firstLineChars="200"/>
        <w:textAlignment w:val="auto"/>
        <w:rPr>
          <w:rFonts w:ascii="Arial" w:hAnsi="Arial" w:cs="Arial"/>
          <w:color w:val="auto"/>
          <w:sz w:val="24"/>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p>
    <w:p>
      <w:pPr>
        <w:pStyle w:val="41"/>
        <w:rPr>
          <w:color w:val="auto"/>
          <w:highlight w:val="none"/>
        </w:rPr>
      </w:pPr>
    </w:p>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pPr>
        <w:pStyle w:val="4"/>
        <w:numPr>
          <w:ilvl w:val="0"/>
          <w:numId w:val="4"/>
        </w:numPr>
        <w:spacing w:before="0" w:after="0" w:line="360" w:lineRule="auto"/>
        <w:jc w:val="center"/>
        <w:rPr>
          <w:rFonts w:hint="eastAsia" w:ascii="宋体" w:hAnsi="宋体" w:eastAsia="宋体" w:cs="宋体"/>
          <w:color w:val="auto"/>
          <w:sz w:val="28"/>
          <w:highlight w:val="none"/>
        </w:rPr>
      </w:pPr>
      <w:bookmarkStart w:id="207" w:name="_Toc25515"/>
      <w:r>
        <w:rPr>
          <w:rFonts w:hint="eastAsia" w:ascii="宋体" w:hAnsi="宋体" w:eastAsia="宋体" w:cs="宋体"/>
          <w:color w:val="auto"/>
          <w:sz w:val="28"/>
          <w:highlight w:val="none"/>
        </w:rPr>
        <w:t>法定代表人身份证明或法定代表人授权委托书</w:t>
      </w:r>
      <w:bookmarkEnd w:id="205"/>
      <w:bookmarkEnd w:id="207"/>
    </w:p>
    <w:bookmarkEnd w:id="206"/>
    <w:p>
      <w:pPr>
        <w:pStyle w:val="4"/>
        <w:spacing w:line="480" w:lineRule="auto"/>
        <w:jc w:val="center"/>
        <w:outlineLvl w:val="2"/>
        <w:rPr>
          <w:rFonts w:ascii="宋体" w:hAnsi="宋体" w:eastAsia="宋体" w:cs="宋体"/>
          <w:color w:val="auto"/>
          <w:sz w:val="24"/>
          <w:szCs w:val="24"/>
          <w:highlight w:val="none"/>
        </w:rPr>
      </w:pPr>
      <w:bookmarkStart w:id="208" w:name="_Toc14141"/>
      <w:bookmarkStart w:id="209" w:name="_Toc20985"/>
      <w:r>
        <w:rPr>
          <w:rFonts w:hint="eastAsia" w:ascii="宋体" w:hAnsi="宋体" w:eastAsia="宋体" w:cs="宋体"/>
          <w:color w:val="auto"/>
          <w:sz w:val="24"/>
          <w:szCs w:val="24"/>
          <w:highlight w:val="none"/>
        </w:rPr>
        <w:t>（一）法定代表人身份证明</w:t>
      </w:r>
      <w:bookmarkEnd w:id="208"/>
      <w:bookmarkEnd w:id="209"/>
    </w:p>
    <w:p>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210" w:name="_Toc369531698"/>
      <w:bookmarkStart w:id="211" w:name="_Toc352691662"/>
      <w:bookmarkStart w:id="212" w:name="_Toc27897"/>
      <w:r>
        <w:rPr>
          <w:rFonts w:ascii="宋体" w:hAnsi="宋体"/>
          <w:color w:val="auto"/>
          <w:highlight w:val="none"/>
          <w:u w:val="single"/>
        </w:rPr>
        <w:t xml:space="preserve">        </w:t>
      </w:r>
      <w:r>
        <w:rPr>
          <w:rFonts w:ascii="宋体" w:hAnsi="宋体"/>
          <w:color w:val="auto"/>
          <w:highlight w:val="none"/>
        </w:rPr>
        <w:t>年</w:t>
      </w:r>
      <w:bookmarkEnd w:id="210"/>
      <w:bookmarkEnd w:id="211"/>
      <w:bookmarkEnd w:id="212"/>
      <w:r>
        <w:rPr>
          <w:rFonts w:ascii="宋体" w:hAnsi="宋体"/>
          <w:color w:val="auto"/>
          <w:highlight w:val="none"/>
        </w:rPr>
        <w:t>龄</w:t>
      </w:r>
      <w:bookmarkStart w:id="213" w:name="_Toc152042578"/>
      <w:bookmarkStart w:id="214" w:name="_Toc361508754"/>
      <w:bookmarkStart w:id="215" w:name="_Toc300835211"/>
      <w:bookmarkStart w:id="216" w:name="_Toc15573"/>
      <w:bookmarkStart w:id="217" w:name="_Toc384308377"/>
      <w:bookmarkStart w:id="218" w:name="_Toc247527829"/>
      <w:bookmarkStart w:id="219" w:name="_Toc152045789"/>
      <w:bookmarkStart w:id="220" w:name="_Toc369531699"/>
      <w:bookmarkStart w:id="221" w:name="_Toc144974858"/>
      <w:bookmarkStart w:id="222" w:name="_Toc352691663"/>
      <w:bookmarkStart w:id="223" w:name="_Toc247514248"/>
      <w:r>
        <w:rPr>
          <w:rFonts w:ascii="宋体" w:hAnsi="宋体"/>
          <w:color w:val="auto"/>
          <w:highlight w:val="none"/>
        </w:rPr>
        <w:t>：</w:t>
      </w:r>
      <w:bookmarkEnd w:id="213"/>
      <w:bookmarkEnd w:id="214"/>
      <w:bookmarkEnd w:id="215"/>
      <w:bookmarkEnd w:id="216"/>
      <w:bookmarkEnd w:id="217"/>
      <w:bookmarkEnd w:id="218"/>
      <w:bookmarkEnd w:id="219"/>
      <w:bookmarkEnd w:id="220"/>
      <w:bookmarkEnd w:id="221"/>
      <w:bookmarkEnd w:id="222"/>
      <w:bookmarkEnd w:id="223"/>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pPr>
        <w:spacing w:line="480" w:lineRule="auto"/>
        <w:ind w:firstLine="420" w:firstLineChars="200"/>
        <w:rPr>
          <w:rFonts w:ascii="宋体" w:hAnsi="宋体"/>
          <w:color w:val="auto"/>
          <w:highlight w:val="none"/>
        </w:rPr>
      </w:pPr>
      <w:r>
        <w:rPr>
          <w:rFonts w:ascii="宋体" w:hAnsi="宋体"/>
          <w:color w:val="auto"/>
          <w:highlight w:val="none"/>
        </w:rPr>
        <w:t>特此证明。</w:t>
      </w:r>
    </w:p>
    <w:p>
      <w:pPr>
        <w:spacing w:line="480" w:lineRule="auto"/>
        <w:rPr>
          <w:rFonts w:ascii="宋体" w:hAnsi="宋体"/>
          <w:color w:val="auto"/>
          <w:highlight w:val="none"/>
        </w:rPr>
      </w:pPr>
    </w:p>
    <w:p>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-126365</wp:posOffset>
                </wp:positionH>
                <wp:positionV relativeFrom="paragraph">
                  <wp:posOffset>-216535</wp:posOffset>
                </wp:positionV>
                <wp:extent cx="6045835" cy="1850390"/>
                <wp:effectExtent l="4445" t="4445" r="7620" b="1206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3360;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pPr>
        <w:spacing w:line="480" w:lineRule="auto"/>
        <w:rPr>
          <w:rFonts w:ascii="宋体" w:hAnsi="宋体"/>
          <w:color w:val="auto"/>
          <w:highlight w:val="none"/>
        </w:rPr>
      </w:pPr>
    </w:p>
    <w:p>
      <w:pPr>
        <w:spacing w:line="440" w:lineRule="exact"/>
        <w:rPr>
          <w:rFonts w:ascii="宋体" w:hAnsi="宋体"/>
          <w:color w:val="auto"/>
          <w:highlight w:val="none"/>
        </w:rPr>
      </w:pPr>
    </w:p>
    <w:p>
      <w:pPr>
        <w:spacing w:line="440" w:lineRule="exact"/>
        <w:rPr>
          <w:rFonts w:ascii="宋体" w:hAnsi="宋体"/>
          <w:color w:val="auto"/>
          <w:highlight w:val="none"/>
        </w:rPr>
      </w:pPr>
    </w:p>
    <w:p>
      <w:pPr>
        <w:spacing w:line="440" w:lineRule="exact"/>
        <w:rPr>
          <w:rFonts w:ascii="宋体" w:hAnsi="宋体"/>
          <w:color w:val="auto"/>
          <w:highlight w:val="none"/>
        </w:rPr>
      </w:pPr>
    </w:p>
    <w:p>
      <w:pPr>
        <w:spacing w:line="440" w:lineRule="exact"/>
        <w:rPr>
          <w:rFonts w:ascii="宋体" w:hAnsi="宋体"/>
          <w:color w:val="auto"/>
          <w:highlight w:val="none"/>
        </w:rPr>
      </w:pPr>
    </w:p>
    <w:p>
      <w:pPr>
        <w:spacing w:line="440" w:lineRule="exact"/>
        <w:rPr>
          <w:rFonts w:ascii="宋体" w:hAnsi="宋体"/>
          <w:color w:val="auto"/>
          <w:highlight w:val="none"/>
        </w:rPr>
      </w:pPr>
    </w:p>
    <w:p>
      <w:pPr>
        <w:spacing w:line="440" w:lineRule="exact"/>
        <w:rPr>
          <w:rFonts w:ascii="宋体" w:hAnsi="宋体"/>
          <w:color w:val="auto"/>
          <w:highlight w:val="none"/>
        </w:rPr>
      </w:pPr>
    </w:p>
    <w:p>
      <w:pPr>
        <w:spacing w:line="440" w:lineRule="exact"/>
        <w:rPr>
          <w:rFonts w:ascii="宋体" w:hAnsi="宋体"/>
          <w:color w:val="auto"/>
          <w:highlight w:val="none"/>
        </w:rPr>
      </w:pPr>
    </w:p>
    <w:p>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pPr>
        <w:spacing w:line="440" w:lineRule="exact"/>
        <w:rPr>
          <w:rFonts w:ascii="宋体" w:hAnsi="宋体"/>
          <w:color w:val="auto"/>
          <w:highlight w:val="none"/>
        </w:rPr>
      </w:pPr>
    </w:p>
    <w:p>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pPr>
        <w:rPr>
          <w:rFonts w:ascii="宋体" w:hAnsi="宋体"/>
          <w:color w:val="auto"/>
          <w:highlight w:val="none"/>
        </w:rPr>
      </w:pPr>
    </w:p>
    <w:p>
      <w:pPr>
        <w:rPr>
          <w:rFonts w:ascii="宋体" w:hAnsi="宋体"/>
          <w:color w:val="auto"/>
          <w:highlight w:val="none"/>
        </w:rPr>
      </w:pPr>
    </w:p>
    <w:p>
      <w:pPr>
        <w:spacing w:line="440" w:lineRule="exact"/>
        <w:rPr>
          <w:rFonts w:ascii="宋体" w:hAnsi="宋体"/>
          <w:color w:val="auto"/>
          <w:highlight w:val="none"/>
        </w:rPr>
      </w:pPr>
      <w:r>
        <w:rPr>
          <w:rFonts w:ascii="宋体" w:hAnsi="宋体"/>
          <w:color w:val="auto"/>
          <w:highlight w:val="none"/>
        </w:rPr>
        <w:t>注：本身份证明需由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pPr>
        <w:spacing w:line="440" w:lineRule="exact"/>
        <w:rPr>
          <w:rFonts w:ascii="宋体" w:hAnsi="宋体"/>
          <w:color w:val="auto"/>
          <w:sz w:val="20"/>
          <w:highlight w:val="none"/>
        </w:rPr>
      </w:pPr>
    </w:p>
    <w:p>
      <w:pPr>
        <w:spacing w:line="20" w:lineRule="exact"/>
        <w:jc w:val="center"/>
        <w:rPr>
          <w:rFonts w:ascii="宋体" w:hAnsi="宋体"/>
          <w:color w:val="auto"/>
          <w:sz w:val="20"/>
          <w:highlight w:val="none"/>
        </w:rPr>
      </w:pPr>
      <w:r>
        <w:rPr>
          <w:rFonts w:ascii="宋体" w:hAnsi="宋体"/>
          <w:color w:val="auto"/>
          <w:sz w:val="20"/>
          <w:highlight w:val="none"/>
        </w:rPr>
        <w:br w:type="page"/>
      </w:r>
    </w:p>
    <w:p>
      <w:pPr>
        <w:pStyle w:val="4"/>
        <w:spacing w:line="480" w:lineRule="auto"/>
        <w:jc w:val="center"/>
        <w:outlineLvl w:val="2"/>
        <w:rPr>
          <w:rFonts w:ascii="宋体" w:hAnsi="宋体"/>
          <w:color w:val="auto"/>
          <w:sz w:val="28"/>
          <w:szCs w:val="28"/>
          <w:highlight w:val="none"/>
        </w:rPr>
      </w:pPr>
      <w:bookmarkStart w:id="224" w:name="_Toc491883233"/>
      <w:bookmarkStart w:id="225" w:name="_Toc58"/>
      <w:bookmarkStart w:id="226" w:name="_Toc3882"/>
      <w:r>
        <w:rPr>
          <w:rFonts w:hint="eastAsia" w:ascii="宋体" w:hAnsi="宋体" w:eastAsia="宋体" w:cs="宋体"/>
          <w:color w:val="auto"/>
          <w:sz w:val="24"/>
          <w:szCs w:val="24"/>
          <w:highlight w:val="none"/>
        </w:rPr>
        <w:t>（二）</w:t>
      </w:r>
      <w:bookmarkEnd w:id="224"/>
      <w:r>
        <w:rPr>
          <w:rFonts w:hint="eastAsia" w:ascii="宋体" w:hAnsi="宋体" w:eastAsia="宋体" w:cs="宋体"/>
          <w:color w:val="auto"/>
          <w:sz w:val="24"/>
          <w:szCs w:val="24"/>
          <w:highlight w:val="none"/>
        </w:rPr>
        <w:t>法定代表人授权委托书</w:t>
      </w:r>
      <w:bookmarkEnd w:id="225"/>
      <w:bookmarkEnd w:id="226"/>
    </w:p>
    <w:p>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-134620</wp:posOffset>
                </wp:positionH>
                <wp:positionV relativeFrom="paragraph">
                  <wp:posOffset>0</wp:posOffset>
                </wp:positionV>
                <wp:extent cx="6045835" cy="1850390"/>
                <wp:effectExtent l="4445" t="4445" r="7620" b="12065"/>
                <wp:wrapNone/>
                <wp:docPr id="5"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45.7pt;width:476.05pt;z-index:251661312;mso-width-relative:page;mso-height-relative:page;" fillcolor="#FFFFFF" filled="t" stroked="t" coordsize="21600,21600" o:gfxdata="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gnTwm2AAAAAgBAAAPAAAAAAAAAAEA&#10;IAAAACIAAABkcnMvZG93bnJldi54bWxQSwECFAAUAAAACACHTuJA5TvF/Q8CAAA4BAAADgAAAAAA&#10;AAABACAAAAAnAQAAZHJzL2Uyb0RvYy54bWxQSwUGAAAAAAYABgBZAQAAqAUAAAAA&#10;">
                <v:fill on="t" focussize="0,0"/>
                <v:stroke color="#000000" joinstyle="miter"/>
                <v:imagedata o:title=""/>
                <o:lock v:ext="edit" aspectratio="f"/>
                <v:textbox>
                  <w:txbxContent>
                    <w:p>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pPr>
                        <w:snapToGrid w:val="0"/>
                        <w:spacing w:line="360" w:lineRule="auto"/>
                        <w:rPr>
                          <w:highlight w:val="none"/>
                        </w:rPr>
                      </w:pPr>
                    </w:p>
                  </w:txbxContent>
                </v:textbox>
              </v:shape>
            </w:pict>
          </mc:Fallback>
        </mc:AlternateContent>
      </w:r>
    </w:p>
    <w:p>
      <w:pPr>
        <w:spacing w:line="440" w:lineRule="exact"/>
        <w:rPr>
          <w:rFonts w:ascii="宋体" w:hAnsi="宋体"/>
          <w:color w:val="auto"/>
          <w:highlight w:val="none"/>
        </w:rPr>
      </w:pPr>
    </w:p>
    <w:p>
      <w:pPr>
        <w:spacing w:line="440" w:lineRule="exact"/>
        <w:rPr>
          <w:rFonts w:ascii="宋体" w:hAnsi="宋体"/>
          <w:color w:val="auto"/>
          <w:highlight w:val="none"/>
        </w:rPr>
      </w:pPr>
      <w:r>
        <w:rPr>
          <w:rFonts w:ascii="宋体" w:hAnsi="宋体"/>
          <w:color w:val="auto"/>
          <w:highlight w:val="none"/>
        </w:rPr>
        <w:t>委托代理人身份证复印件</w:t>
      </w:r>
    </w:p>
    <w:p>
      <w:pPr>
        <w:spacing w:line="440" w:lineRule="exact"/>
        <w:rPr>
          <w:rFonts w:ascii="宋体" w:hAnsi="宋体"/>
          <w:color w:val="auto"/>
          <w:highlight w:val="none"/>
        </w:rPr>
      </w:pPr>
    </w:p>
    <w:p>
      <w:pPr>
        <w:spacing w:line="440" w:lineRule="exact"/>
        <w:rPr>
          <w:rFonts w:ascii="宋体" w:hAnsi="宋体"/>
          <w:color w:val="auto"/>
          <w:highlight w:val="none"/>
        </w:rPr>
      </w:pPr>
    </w:p>
    <w:p>
      <w:pPr>
        <w:spacing w:line="440" w:lineRule="exact"/>
        <w:rPr>
          <w:rFonts w:ascii="宋体" w:hAnsi="宋体"/>
          <w:color w:val="auto"/>
          <w:highlight w:val="none"/>
        </w:rPr>
      </w:pPr>
    </w:p>
    <w:p>
      <w:pPr>
        <w:spacing w:line="440" w:lineRule="exact"/>
        <w:rPr>
          <w:rFonts w:ascii="宋体" w:hAnsi="宋体"/>
          <w:color w:val="auto"/>
          <w:highlight w:val="none"/>
        </w:rPr>
      </w:pPr>
    </w:p>
    <w:p>
      <w:pPr>
        <w:spacing w:line="440" w:lineRule="exact"/>
        <w:ind w:firstLine="2692" w:firstLineChars="1282"/>
        <w:rPr>
          <w:rFonts w:hint="eastAsia"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-146050</wp:posOffset>
                </wp:positionH>
                <wp:positionV relativeFrom="paragraph">
                  <wp:posOffset>21590</wp:posOffset>
                </wp:positionV>
                <wp:extent cx="6066790" cy="1953260"/>
                <wp:effectExtent l="5080" t="4445" r="11430" b="10795"/>
                <wp:wrapNone/>
                <wp:docPr id="9" name="文本框 33"/>
                <wp:cNvGraphicFramePr/>
                <a:graphic xmlns:a="http://schemas.openxmlformats.org/drawingml/2006/main">
                  <a:graphicData uri="http://schemas.microsoft.com/office/word/2010/wordprocessingShape">
                    <wps:wsp>
                      <wps:cNvSpPr txBox="1"/>
                      <wps:spPr>
                        <a:xfrm>
                          <a:off x="0" y="0"/>
                          <a:ext cx="6066790" cy="19532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1.5pt;margin-top:1.7pt;height:153.8pt;width:477.7pt;z-index:251662336;mso-width-relative:page;mso-height-relative:page;" fillcolor="#FFFFFF" filled="t" stroked="t" coordsize="21600,21600" o:gfxdata="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CEPO3YAAAACQEAAA8AAAAAAAAAAQAg&#10;AAAAIgAAAGRycy9kb3ducmV2LnhtbFBLAQIUABQAAAAIAIdO4kBm4Zl7DgIAADgEAAAOAAAAAAAA&#10;AAEAIAAAACcBAABkcnMvZTJvRG9jLnhtbFBLBQYAAAAABgAGAFkBAACnBQAAAAA=&#10;">
                <v:fill on="t" focussize="0,0"/>
                <v:stroke color="#000000" joinstyle="miter"/>
                <v:imagedata o:title=""/>
                <o:lock v:ext="edit" aspectratio="f"/>
                <v:textbox>
                  <w:txbxContent>
                    <w:p>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pPr>
                        <w:spacing w:line="360" w:lineRule="auto"/>
                        <w:jc w:val="center"/>
                        <w:rPr>
                          <w:highlight w:val="none"/>
                        </w:rPr>
                      </w:pPr>
                    </w:p>
                  </w:txbxContent>
                </v:textbox>
              </v:shape>
            </w:pict>
          </mc:Fallback>
        </mc:AlternateContent>
      </w:r>
    </w:p>
    <w:p>
      <w:pPr>
        <w:spacing w:line="440" w:lineRule="exact"/>
        <w:ind w:firstLine="2692" w:firstLineChars="1282"/>
        <w:rPr>
          <w:rFonts w:hint="eastAsia" w:ascii="宋体" w:hAnsi="宋体"/>
          <w:color w:val="auto"/>
          <w:highlight w:val="none"/>
        </w:rPr>
      </w:pPr>
    </w:p>
    <w:p>
      <w:pPr>
        <w:spacing w:line="440" w:lineRule="exact"/>
        <w:ind w:firstLine="2692" w:firstLineChars="1282"/>
        <w:rPr>
          <w:rFonts w:hint="eastAsia" w:ascii="宋体" w:hAnsi="宋体"/>
          <w:color w:val="auto"/>
          <w:highlight w:val="none"/>
        </w:rPr>
      </w:pPr>
    </w:p>
    <w:p>
      <w:pPr>
        <w:spacing w:line="440" w:lineRule="exact"/>
        <w:ind w:firstLine="2692" w:firstLineChars="1282"/>
        <w:rPr>
          <w:rFonts w:hint="eastAsia" w:ascii="宋体" w:hAnsi="宋体"/>
          <w:color w:val="auto"/>
          <w:highlight w:val="none"/>
        </w:rPr>
      </w:pPr>
    </w:p>
    <w:p>
      <w:pPr>
        <w:spacing w:line="440" w:lineRule="exact"/>
        <w:ind w:firstLine="2692" w:firstLineChars="1282"/>
        <w:rPr>
          <w:rFonts w:hint="eastAsia" w:ascii="宋体" w:hAnsi="宋体"/>
          <w:color w:val="auto"/>
          <w:highlight w:val="none"/>
        </w:rPr>
      </w:pPr>
    </w:p>
    <w:p>
      <w:pPr>
        <w:spacing w:line="440" w:lineRule="exact"/>
        <w:ind w:firstLine="2692" w:firstLineChars="1282"/>
        <w:rPr>
          <w:rFonts w:hint="eastAsia" w:ascii="宋体" w:hAnsi="宋体"/>
          <w:color w:val="auto"/>
          <w:highlight w:val="none"/>
        </w:rPr>
      </w:pPr>
    </w:p>
    <w:p>
      <w:pPr>
        <w:spacing w:line="440" w:lineRule="exact"/>
        <w:ind w:firstLine="2692" w:firstLineChars="1282"/>
        <w:rPr>
          <w:rFonts w:hint="eastAsia" w:ascii="宋体" w:hAnsi="宋体"/>
          <w:color w:val="auto"/>
          <w:highlight w:val="none"/>
        </w:rPr>
      </w:pPr>
    </w:p>
    <w:p>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ascii="宋体" w:hAnsi="宋体"/>
          <w:color w:val="auto"/>
          <w:highlight w:val="none"/>
        </w:rPr>
        <w:t>）</w:t>
      </w:r>
    </w:p>
    <w:p>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ascii="宋体" w:hAnsi="宋体"/>
          <w:color w:val="auto"/>
          <w:highlight w:val="none"/>
        </w:rPr>
        <w:t>）</w:t>
      </w:r>
    </w:p>
    <w:p>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pPr>
        <w:rPr>
          <w:rFonts w:ascii="宋体" w:hAnsi="宋体"/>
          <w:color w:val="auto"/>
          <w:highlight w:val="none"/>
        </w:rPr>
      </w:pPr>
    </w:p>
    <w:p>
      <w:pPr>
        <w:spacing w:line="440" w:lineRule="exact"/>
        <w:rPr>
          <w:rFonts w:ascii="宋体" w:hAnsi="宋体"/>
          <w:color w:val="auto"/>
          <w:highlight w:val="none"/>
        </w:rPr>
      </w:pPr>
      <w:r>
        <w:rPr>
          <w:rFonts w:ascii="宋体" w:hAnsi="宋体"/>
          <w:color w:val="auto"/>
          <w:highlight w:val="none"/>
        </w:rPr>
        <w:t>注：本授权委托书需由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pPr>
        <w:pStyle w:val="28"/>
        <w:pageBreakBefore w:val="0"/>
        <w:widowControl w:val="0"/>
        <w:kinsoku/>
        <w:wordWrap/>
        <w:overflowPunct/>
        <w:autoSpaceDE/>
        <w:autoSpaceDN/>
        <w:bidi w:val="0"/>
        <w:adjustRightInd/>
        <w:snapToGrid/>
        <w:textAlignment w:val="auto"/>
        <w:outlineLvl w:val="9"/>
        <w:rPr>
          <w:color w:val="auto"/>
          <w:highlight w:val="none"/>
        </w:rPr>
        <w:sectPr>
          <w:footerReference r:id="rId11" w:type="first"/>
          <w:footerReference r:id="rId10" w:type="default"/>
          <w:pgSz w:w="11906" w:h="16838"/>
          <w:pgMar w:top="1440" w:right="1803" w:bottom="1440" w:left="1803" w:header="851" w:footer="992" w:gutter="0"/>
          <w:cols w:space="720" w:num="1"/>
          <w:titlePg/>
          <w:docGrid w:type="lines" w:linePitch="319" w:charSpace="0"/>
        </w:sectPr>
      </w:pPr>
    </w:p>
    <w:p>
      <w:pPr>
        <w:rPr>
          <w:rFonts w:ascii="宋体" w:hAnsi="宋体" w:cs="宋体"/>
          <w:snapToGrid w:val="0"/>
          <w:color w:val="auto"/>
          <w:kern w:val="0"/>
          <w:szCs w:val="21"/>
          <w:highlight w:val="none"/>
        </w:rPr>
      </w:pPr>
    </w:p>
    <w:p>
      <w:pPr>
        <w:pStyle w:val="4"/>
        <w:spacing w:before="0" w:after="0" w:line="360" w:lineRule="auto"/>
        <w:jc w:val="center"/>
        <w:rPr>
          <w:rFonts w:ascii="宋体" w:hAnsi="宋体" w:eastAsia="宋体" w:cs="宋体"/>
          <w:color w:val="auto"/>
          <w:sz w:val="28"/>
          <w:highlight w:val="none"/>
        </w:rPr>
      </w:pPr>
      <w:bookmarkStart w:id="227" w:name="_Toc11329275"/>
      <w:bookmarkStart w:id="228" w:name="_Toc13095"/>
      <w:r>
        <w:rPr>
          <w:rFonts w:hint="eastAsia" w:ascii="宋体" w:hAnsi="宋体" w:eastAsia="宋体" w:cs="宋体"/>
          <w:color w:val="auto"/>
          <w:sz w:val="28"/>
          <w:highlight w:val="none"/>
        </w:rPr>
        <w:t>三、</w:t>
      </w:r>
      <w:bookmarkEnd w:id="202"/>
      <w:bookmarkEnd w:id="203"/>
      <w:bookmarkEnd w:id="204"/>
      <w:bookmarkEnd w:id="227"/>
      <w:r>
        <w:rPr>
          <w:rFonts w:hint="eastAsia" w:ascii="宋体" w:hAnsi="宋体" w:eastAsia="宋体" w:cs="宋体"/>
          <w:color w:val="auto"/>
          <w:sz w:val="28"/>
          <w:highlight w:val="none"/>
        </w:rPr>
        <w:t>报价一览表</w:t>
      </w:r>
      <w:bookmarkEnd w:id="228"/>
    </w:p>
    <w:p>
      <w:pPr>
        <w:ind w:left="765"/>
        <w:jc w:val="center"/>
        <w:rPr>
          <w:rFonts w:ascii="宋体" w:hAnsi="宋体" w:cs="宋体"/>
          <w:color w:val="auto"/>
          <w:szCs w:val="21"/>
          <w:highlight w:val="none"/>
        </w:rPr>
      </w:pPr>
    </w:p>
    <w:p>
      <w:pPr>
        <w:pStyle w:val="38"/>
        <w:spacing w:line="480" w:lineRule="auto"/>
        <w:jc w:val="both"/>
        <w:rPr>
          <w:rFonts w:hAnsi="宋体"/>
          <w:color w:val="auto"/>
          <w:highlight w:val="none"/>
        </w:rPr>
      </w:pPr>
      <w:r>
        <w:rPr>
          <w:rFonts w:hint="eastAsia" w:hAnsi="宋体"/>
          <w:color w:val="auto"/>
          <w:highlight w:val="none"/>
          <w:lang w:eastAsia="zh-CN"/>
        </w:rPr>
        <w:t>重庆首讯科技股份有限公司数智系统运维分公司</w:t>
      </w:r>
      <w:r>
        <w:rPr>
          <w:rFonts w:hint="eastAsia" w:hAnsi="宋体"/>
          <w:color w:val="auto"/>
          <w:highlight w:val="none"/>
        </w:rPr>
        <w:t>：</w:t>
      </w:r>
    </w:p>
    <w:p>
      <w:pPr>
        <w:spacing w:line="480" w:lineRule="auto"/>
        <w:ind w:firstLine="420" w:firstLineChars="200"/>
        <w:jc w:val="left"/>
        <w:rPr>
          <w:rFonts w:hint="eastAsia" w:ascii="宋体" w:hAnsi="宋体"/>
          <w:b/>
          <w:color w:val="auto"/>
          <w:szCs w:val="21"/>
          <w:highlight w:val="none"/>
        </w:rPr>
      </w:pPr>
      <w:bookmarkStart w:id="229" w:name="_Toc11329278"/>
      <w:bookmarkStart w:id="230" w:name="_Toc513633971"/>
      <w:bookmarkStart w:id="231" w:name="_Toc503951050"/>
      <w:bookmarkStart w:id="232" w:name="_Toc152042592"/>
      <w:bookmarkStart w:id="233" w:name="_Toc144974871"/>
      <w:bookmarkStart w:id="234" w:name="_Toc246997112"/>
      <w:bookmarkStart w:id="235" w:name="_Toc247085887"/>
      <w:bookmarkStart w:id="236" w:name="_Toc152045803"/>
      <w:bookmarkStart w:id="237" w:name="_Toc447827058"/>
      <w:bookmarkStart w:id="238" w:name="_Toc246996369"/>
      <w:bookmarkStart w:id="239" w:name="_Toc179632823"/>
      <w:r>
        <w:rPr>
          <w:rFonts w:hint="eastAsia" w:ascii="宋体" w:hAnsi="宋体"/>
          <w:color w:val="auto"/>
          <w:szCs w:val="21"/>
          <w:highlight w:val="none"/>
        </w:rPr>
        <w:t>在研究了竞争比选文件中所有文件后，我司对</w:t>
      </w:r>
      <w:r>
        <w:rPr>
          <w:rFonts w:hint="eastAsia" w:ascii="Arial" w:hAnsi="Arial" w:cs="Arial"/>
          <w:color w:val="auto"/>
          <w:szCs w:val="21"/>
          <w:highlight w:val="none"/>
          <w:u w:val="none"/>
          <w:lang w:val="en-US" w:eastAsia="zh-CN"/>
        </w:rPr>
        <w:t>本项目</w:t>
      </w:r>
      <w:r>
        <w:rPr>
          <w:rFonts w:hint="eastAsia" w:ascii="宋体" w:hAnsi="宋体"/>
          <w:color w:val="auto"/>
          <w:szCs w:val="21"/>
          <w:highlight w:val="none"/>
        </w:rPr>
        <w:t>竞</w:t>
      </w:r>
      <w:r>
        <w:rPr>
          <w:rFonts w:hint="eastAsia" w:ascii="Arial" w:hAnsi="Arial" w:cs="Arial"/>
          <w:color w:val="auto"/>
          <w:szCs w:val="21"/>
          <w:highlight w:val="none"/>
        </w:rPr>
        <w:t>争比选响应</w:t>
      </w:r>
      <w:r>
        <w:rPr>
          <w:rFonts w:hint="eastAsia" w:ascii="宋体" w:hAnsi="宋体"/>
          <w:color w:val="auto"/>
          <w:szCs w:val="21"/>
          <w:highlight w:val="none"/>
        </w:rPr>
        <w:t>报价如下：</w:t>
      </w:r>
      <w:r>
        <w:rPr>
          <w:rFonts w:hint="eastAsia" w:ascii="宋体" w:hAnsi="宋体"/>
          <w:b/>
          <w:color w:val="auto"/>
          <w:szCs w:val="21"/>
          <w:highlight w:val="none"/>
        </w:rPr>
        <w:t xml:space="preserve"> </w:t>
      </w:r>
    </w:p>
    <w:p>
      <w:pPr>
        <w:pStyle w:val="2"/>
        <w:rPr>
          <w:rFonts w:hint="eastAsia" w:ascii="宋体" w:hAnsi="宋体"/>
          <w:b/>
          <w:color w:val="auto"/>
          <w:szCs w:val="21"/>
          <w:highlight w:val="none"/>
        </w:rPr>
      </w:pPr>
    </w:p>
    <w:p>
      <w:pPr>
        <w:rPr>
          <w:rFonts w:hint="eastAsia" w:ascii="宋体" w:hAnsi="宋体"/>
          <w:b/>
          <w:color w:val="auto"/>
          <w:szCs w:val="21"/>
          <w:highlight w:val="none"/>
        </w:rPr>
      </w:pPr>
    </w:p>
    <w:p>
      <w:pPr>
        <w:pStyle w:val="2"/>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注：1</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含税</w:t>
      </w:r>
      <w:r>
        <w:rPr>
          <w:rFonts w:hint="eastAsia" w:ascii="宋体" w:hAnsi="宋体" w:eastAsia="宋体" w:cs="宋体"/>
          <w:b w:val="0"/>
          <w:bCs w:val="0"/>
          <w:color w:val="auto"/>
          <w:sz w:val="21"/>
          <w:szCs w:val="21"/>
          <w:highlight w:val="none"/>
        </w:rPr>
        <w:t>总报价应与</w:t>
      </w:r>
      <w:r>
        <w:rPr>
          <w:rFonts w:hint="eastAsia" w:ascii="宋体" w:hAnsi="宋体" w:eastAsia="宋体" w:cs="宋体"/>
          <w:b w:val="0"/>
          <w:bCs w:val="0"/>
          <w:color w:val="auto"/>
          <w:sz w:val="21"/>
          <w:szCs w:val="21"/>
          <w:highlight w:val="none"/>
          <w:lang w:eastAsia="zh-CN"/>
        </w:rPr>
        <w:t>竞争性比选</w:t>
      </w:r>
      <w:r>
        <w:rPr>
          <w:rFonts w:hint="eastAsia" w:ascii="宋体" w:hAnsi="宋体" w:eastAsia="宋体" w:cs="宋体"/>
          <w:b w:val="0"/>
          <w:bCs w:val="0"/>
          <w:color w:val="auto"/>
          <w:sz w:val="21"/>
          <w:szCs w:val="21"/>
          <w:highlight w:val="none"/>
        </w:rPr>
        <w:t>响应声明书中的报价一致；所有价格均系用人民币表示，单位为“元”，报价最多精确到小数点后两位。</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s="Times New Roman"/>
          <w:b w:val="0"/>
          <w:bCs w:val="0"/>
          <w:color w:val="auto"/>
          <w:highlight w:val="none"/>
        </w:rPr>
      </w:pP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人应仔细核实</w:t>
      </w:r>
      <w:r>
        <w:rPr>
          <w:rFonts w:hint="eastAsia" w:ascii="宋体" w:hAnsi="宋体" w:eastAsia="宋体" w:cs="宋体"/>
          <w:b w:val="0"/>
          <w:bCs w:val="0"/>
          <w:color w:val="auto"/>
          <w:sz w:val="21"/>
          <w:szCs w:val="21"/>
          <w:highlight w:val="none"/>
          <w:lang w:val="en-US" w:eastAsia="zh-CN"/>
        </w:rPr>
        <w:t>比选</w:t>
      </w:r>
      <w:r>
        <w:rPr>
          <w:rFonts w:hint="eastAsia" w:ascii="宋体" w:hAnsi="宋体" w:eastAsia="宋体" w:cs="宋体"/>
          <w:b w:val="0"/>
          <w:bCs w:val="0"/>
          <w:color w:val="auto"/>
          <w:sz w:val="21"/>
          <w:szCs w:val="21"/>
          <w:highlight w:val="none"/>
        </w:rPr>
        <w:t>范围内所包含的所有计费项目，未报及漏报的项目将视为是</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人对</w:t>
      </w:r>
      <w:r>
        <w:rPr>
          <w:rFonts w:hint="eastAsia" w:ascii="宋体" w:hAnsi="宋体" w:eastAsia="宋体" w:cs="宋体"/>
          <w:b w:val="0"/>
          <w:bCs w:val="0"/>
          <w:color w:val="auto"/>
          <w:sz w:val="21"/>
          <w:szCs w:val="21"/>
          <w:highlight w:val="none"/>
          <w:lang w:val="en-US" w:eastAsia="zh-CN"/>
        </w:rPr>
        <w:t>采购</w:t>
      </w:r>
      <w:r>
        <w:rPr>
          <w:rFonts w:hint="eastAsia" w:ascii="宋体" w:hAnsi="宋体" w:eastAsia="宋体" w:cs="宋体"/>
          <w:b w:val="0"/>
          <w:bCs w:val="0"/>
          <w:color w:val="auto"/>
          <w:sz w:val="21"/>
          <w:szCs w:val="21"/>
          <w:highlight w:val="none"/>
        </w:rPr>
        <w:t>人进行优惠，结算时不再进行增加。</w:t>
      </w:r>
    </w:p>
    <w:p>
      <w:pPr>
        <w:keepNext w:val="0"/>
        <w:keepLines w:val="0"/>
        <w:pageBreakBefore w:val="0"/>
        <w:widowControl w:val="0"/>
        <w:kinsoku/>
        <w:wordWrap/>
        <w:overflowPunct/>
        <w:topLinePunct w:val="0"/>
        <w:autoSpaceDE/>
        <w:autoSpaceDN/>
        <w:bidi w:val="0"/>
        <w:adjustRightInd/>
        <w:snapToGrid/>
        <w:spacing w:line="480" w:lineRule="auto"/>
        <w:ind w:firstLine="4800" w:firstLineChars="2000"/>
        <w:textAlignment w:val="auto"/>
        <w:rPr>
          <w:rFonts w:hint="eastAsia" w:ascii="宋体" w:hAnsi="宋体"/>
          <w:b w:val="0"/>
          <w:bCs w:val="0"/>
          <w:color w:val="auto"/>
          <w:sz w:val="24"/>
          <w:highlight w:val="none"/>
        </w:rPr>
      </w:pPr>
    </w:p>
    <w:p>
      <w:pPr>
        <w:tabs>
          <w:tab w:val="left" w:pos="7140"/>
          <w:tab w:val="left" w:pos="7560"/>
          <w:tab w:val="left" w:pos="8300"/>
        </w:tabs>
        <w:autoSpaceDE w:val="0"/>
        <w:autoSpaceDN w:val="0"/>
        <w:adjustRightInd w:val="0"/>
        <w:ind w:firstLine="420" w:firstLineChars="200"/>
        <w:jc w:val="right"/>
        <w:rPr>
          <w:rFonts w:hint="eastAsia" w:ascii="宋体" w:hAnsi="宋体"/>
          <w:b w:val="0"/>
          <w:bCs w:val="0"/>
          <w:color w:val="auto"/>
          <w:kern w:val="0"/>
          <w:szCs w:val="21"/>
          <w:highlight w:val="none"/>
          <w:lang w:val="en-US" w:eastAsia="zh-CN"/>
        </w:rPr>
      </w:pPr>
    </w:p>
    <w:p>
      <w:pPr>
        <w:tabs>
          <w:tab w:val="left" w:pos="7140"/>
          <w:tab w:val="left" w:pos="7560"/>
          <w:tab w:val="left" w:pos="8300"/>
        </w:tabs>
        <w:autoSpaceDE w:val="0"/>
        <w:autoSpaceDN w:val="0"/>
        <w:adjustRightInd w:val="0"/>
        <w:ind w:firstLine="420" w:firstLineChars="200"/>
        <w:jc w:val="right"/>
        <w:rPr>
          <w:rFonts w:hint="eastAsia" w:ascii="宋体" w:hAnsi="宋体"/>
          <w:b w:val="0"/>
          <w:bCs w:val="0"/>
          <w:snapToGrid w:val="0"/>
          <w:color w:val="auto"/>
          <w:kern w:val="0"/>
          <w:szCs w:val="21"/>
          <w:highlight w:val="none"/>
        </w:rPr>
      </w:pPr>
      <w:r>
        <w:rPr>
          <w:rFonts w:hint="eastAsia" w:ascii="宋体" w:hAnsi="宋体"/>
          <w:b w:val="0"/>
          <w:bCs w:val="0"/>
          <w:color w:val="auto"/>
          <w:kern w:val="0"/>
          <w:szCs w:val="21"/>
          <w:highlight w:val="none"/>
          <w:lang w:val="en-US" w:eastAsia="zh-CN"/>
        </w:rPr>
        <w:t>报价</w:t>
      </w:r>
      <w:r>
        <w:rPr>
          <w:rFonts w:ascii="宋体" w:hAnsi="宋体"/>
          <w:b w:val="0"/>
          <w:bCs w:val="0"/>
          <w:color w:val="auto"/>
          <w:kern w:val="0"/>
          <w:szCs w:val="21"/>
          <w:highlight w:val="none"/>
        </w:rPr>
        <w:t>人：</w:t>
      </w:r>
      <w:r>
        <w:rPr>
          <w:rFonts w:ascii="宋体" w:hAnsi="宋体"/>
          <w:b w:val="0"/>
          <w:bCs w:val="0"/>
          <w:color w:val="auto"/>
          <w:w w:val="200"/>
          <w:kern w:val="0"/>
          <w:szCs w:val="21"/>
          <w:highlight w:val="none"/>
          <w:u w:val="single"/>
        </w:rPr>
        <w:t xml:space="preserve"> </w:t>
      </w:r>
      <w:r>
        <w:rPr>
          <w:rFonts w:hint="eastAsia" w:ascii="宋体" w:hAnsi="宋体"/>
          <w:b w:val="0"/>
          <w:bCs w:val="0"/>
          <w:color w:val="auto"/>
          <w:w w:val="200"/>
          <w:kern w:val="0"/>
          <w:szCs w:val="21"/>
          <w:highlight w:val="none"/>
          <w:u w:val="single"/>
          <w:lang w:val="en-US" w:eastAsia="zh-CN"/>
        </w:rPr>
        <w:t xml:space="preserve">  </w:t>
      </w:r>
      <w:r>
        <w:rPr>
          <w:rFonts w:ascii="宋体" w:hAnsi="宋体"/>
          <w:b w:val="0"/>
          <w:bCs w:val="0"/>
          <w:color w:val="auto"/>
          <w:w w:val="200"/>
          <w:kern w:val="0"/>
          <w:szCs w:val="21"/>
          <w:highlight w:val="none"/>
          <w:u w:val="single"/>
        </w:rPr>
        <w:t xml:space="preserve"> </w:t>
      </w:r>
      <w:r>
        <w:rPr>
          <w:rFonts w:hint="eastAsia" w:ascii="宋体" w:hAnsi="宋体"/>
          <w:b w:val="0"/>
          <w:bCs w:val="0"/>
          <w:color w:val="auto"/>
          <w:w w:val="200"/>
          <w:kern w:val="0"/>
          <w:szCs w:val="21"/>
          <w:highlight w:val="none"/>
          <w:u w:val="single"/>
        </w:rPr>
        <w:t xml:space="preserve"> </w:t>
      </w:r>
      <w:r>
        <w:rPr>
          <w:rFonts w:ascii="宋体" w:hAnsi="宋体"/>
          <w:b w:val="0"/>
          <w:bCs w:val="0"/>
          <w:color w:val="auto"/>
          <w:kern w:val="0"/>
          <w:szCs w:val="21"/>
          <w:highlight w:val="none"/>
        </w:rPr>
        <w:t>（</w:t>
      </w:r>
      <w:r>
        <w:rPr>
          <w:rFonts w:ascii="宋体" w:hAnsi="宋体"/>
          <w:b w:val="0"/>
          <w:bCs w:val="0"/>
          <w:color w:val="auto"/>
          <w:spacing w:val="-1"/>
          <w:kern w:val="0"/>
          <w:szCs w:val="21"/>
          <w:highlight w:val="none"/>
        </w:rPr>
        <w:t>盖单位</w:t>
      </w:r>
      <w:r>
        <w:rPr>
          <w:rFonts w:hint="eastAsia" w:ascii="宋体" w:hAnsi="宋体"/>
          <w:b w:val="0"/>
          <w:bCs w:val="0"/>
          <w:color w:val="auto"/>
          <w:spacing w:val="-1"/>
          <w:kern w:val="0"/>
          <w:szCs w:val="21"/>
          <w:highlight w:val="none"/>
        </w:rPr>
        <w:t>公</w:t>
      </w:r>
      <w:r>
        <w:rPr>
          <w:rFonts w:ascii="宋体" w:hAnsi="宋体"/>
          <w:b w:val="0"/>
          <w:bCs w:val="0"/>
          <w:color w:val="auto"/>
          <w:spacing w:val="-1"/>
          <w:kern w:val="0"/>
          <w:szCs w:val="21"/>
          <w:highlight w:val="none"/>
        </w:rPr>
        <w:t>章</w:t>
      </w:r>
      <w:r>
        <w:rPr>
          <w:rFonts w:ascii="宋体" w:hAnsi="宋体"/>
          <w:b w:val="0"/>
          <w:bCs w:val="0"/>
          <w:color w:val="auto"/>
          <w:kern w:val="0"/>
          <w:szCs w:val="21"/>
          <w:highlight w:val="none"/>
        </w:rPr>
        <w:t>）</w:t>
      </w:r>
    </w:p>
    <w:p>
      <w:pPr>
        <w:jc w:val="right"/>
        <w:rPr>
          <w:rFonts w:hint="eastAsia" w:ascii="宋体" w:hAnsi="宋体"/>
          <w:b w:val="0"/>
          <w:bCs w:val="0"/>
          <w:color w:val="auto"/>
          <w:kern w:val="0"/>
          <w:szCs w:val="21"/>
          <w:highlight w:val="none"/>
          <w:u w:val="single"/>
        </w:rPr>
      </w:pPr>
    </w:p>
    <w:p>
      <w:pPr>
        <w:jc w:val="right"/>
        <w:rPr>
          <w:rFonts w:hint="eastAsia" w:ascii="宋体" w:hAnsi="宋体"/>
          <w:b w:val="0"/>
          <w:bCs w:val="0"/>
          <w:color w:val="auto"/>
          <w:kern w:val="0"/>
          <w:szCs w:val="21"/>
          <w:highlight w:val="none"/>
        </w:rPr>
      </w:pPr>
      <w:r>
        <w:rPr>
          <w:rFonts w:hint="eastAsia" w:ascii="宋体" w:hAnsi="宋体"/>
          <w:b w:val="0"/>
          <w:bCs w:val="0"/>
          <w:color w:val="auto"/>
          <w:kern w:val="0"/>
          <w:szCs w:val="21"/>
          <w:highlight w:val="none"/>
          <w:u w:val="single"/>
        </w:rPr>
        <w:t xml:space="preserve">    </w:t>
      </w:r>
      <w:r>
        <w:rPr>
          <w:rFonts w:ascii="宋体" w:hAnsi="宋体"/>
          <w:b w:val="0"/>
          <w:bCs w:val="0"/>
          <w:color w:val="auto"/>
          <w:kern w:val="0"/>
          <w:szCs w:val="21"/>
          <w:highlight w:val="none"/>
        </w:rPr>
        <w:t>年</w:t>
      </w:r>
      <w:r>
        <w:rPr>
          <w:rFonts w:hint="eastAsia" w:ascii="宋体" w:hAnsi="宋体"/>
          <w:b w:val="0"/>
          <w:bCs w:val="0"/>
          <w:color w:val="auto"/>
          <w:kern w:val="0"/>
          <w:szCs w:val="21"/>
          <w:highlight w:val="none"/>
          <w:u w:val="single"/>
        </w:rPr>
        <w:t xml:space="preserve">    </w:t>
      </w:r>
      <w:r>
        <w:rPr>
          <w:rFonts w:ascii="宋体" w:hAnsi="宋体"/>
          <w:b w:val="0"/>
          <w:bCs w:val="0"/>
          <w:color w:val="auto"/>
          <w:kern w:val="0"/>
          <w:szCs w:val="21"/>
          <w:highlight w:val="none"/>
        </w:rPr>
        <w:t>月</w:t>
      </w:r>
      <w:r>
        <w:rPr>
          <w:rFonts w:hint="eastAsia" w:ascii="宋体" w:hAnsi="宋体"/>
          <w:b w:val="0"/>
          <w:bCs w:val="0"/>
          <w:color w:val="auto"/>
          <w:kern w:val="0"/>
          <w:szCs w:val="21"/>
          <w:highlight w:val="none"/>
          <w:u w:val="single"/>
        </w:rPr>
        <w:t xml:space="preserve">    </w:t>
      </w:r>
      <w:r>
        <w:rPr>
          <w:rFonts w:ascii="宋体" w:hAnsi="宋体"/>
          <w:b w:val="0"/>
          <w:bCs w:val="0"/>
          <w:color w:val="auto"/>
          <w:kern w:val="0"/>
          <w:szCs w:val="21"/>
          <w:highlight w:val="none"/>
        </w:rPr>
        <w:t>日</w:t>
      </w:r>
    </w:p>
    <w:p>
      <w:pPr>
        <w:pStyle w:val="4"/>
        <w:spacing w:before="0" w:after="0" w:line="36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bookmarkStart w:id="240" w:name="_Toc12910"/>
      <w:bookmarkStart w:id="241" w:name="_Toc11961"/>
      <w:bookmarkStart w:id="242" w:name="_Toc18757"/>
      <w:bookmarkStart w:id="243" w:name="_Toc19454"/>
      <w:r>
        <w:rPr>
          <w:rFonts w:hint="eastAsia" w:ascii="宋体" w:hAnsi="宋体" w:eastAsia="宋体" w:cs="宋体"/>
          <w:color w:val="auto"/>
          <w:sz w:val="28"/>
          <w:highlight w:val="none"/>
        </w:rPr>
        <w:t>四、资格审查资料</w:t>
      </w:r>
      <w:bookmarkEnd w:id="229"/>
      <w:bookmarkEnd w:id="230"/>
      <w:bookmarkEnd w:id="231"/>
      <w:bookmarkEnd w:id="240"/>
      <w:bookmarkEnd w:id="241"/>
      <w:bookmarkEnd w:id="242"/>
      <w:bookmarkEnd w:id="243"/>
    </w:p>
    <w:p>
      <w:pPr>
        <w:pageBreakBefore w:val="0"/>
        <w:widowControl w:val="0"/>
        <w:kinsoku/>
        <w:overflowPunct/>
        <w:topLinePunct w:val="0"/>
        <w:autoSpaceDE/>
        <w:autoSpaceDN/>
        <w:bidi w:val="0"/>
        <w:adjustRightInd/>
        <w:snapToGrid/>
        <w:jc w:val="center"/>
        <w:textAlignment w:val="auto"/>
        <w:outlineLvl w:val="9"/>
        <w:rPr>
          <w:rFonts w:ascii="宋体" w:hAnsi="宋体" w:eastAsia="宋体" w:cs="宋体"/>
          <w:b/>
          <w:bCs/>
          <w:color w:val="auto"/>
          <w:sz w:val="28"/>
          <w:szCs w:val="28"/>
          <w:highlight w:val="none"/>
        </w:rPr>
      </w:pPr>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一</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资格审查资料</w:t>
      </w:r>
    </w:p>
    <w:bookmarkEnd w:id="232"/>
    <w:bookmarkEnd w:id="233"/>
    <w:bookmarkEnd w:id="234"/>
    <w:bookmarkEnd w:id="235"/>
    <w:bookmarkEnd w:id="236"/>
    <w:bookmarkEnd w:id="237"/>
    <w:bookmarkEnd w:id="238"/>
    <w:bookmarkEnd w:id="239"/>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bookmarkStart w:id="244" w:name="_Toc503951058"/>
            <w:bookmarkStart w:id="245" w:name="_Toc513633974"/>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pPr>
              <w:tabs>
                <w:tab w:val="left" w:pos="1035"/>
              </w:tabs>
              <w:spacing w:line="240" w:lineRule="auto"/>
              <w:ind w:firstLine="420" w:firstLineChars="200"/>
              <w:jc w:val="left"/>
              <w:rPr>
                <w:rFonts w:hint="eastAsia"/>
                <w:lang w:val="en-US" w:eastAsia="zh-CN"/>
              </w:rPr>
            </w:pPr>
            <w:r>
              <w:rPr>
                <w:rFonts w:hint="eastAsia"/>
                <w:lang w:val="en-US" w:eastAsia="zh-CN"/>
              </w:rPr>
              <w:t>1、具有独立法人资格；</w:t>
            </w:r>
          </w:p>
          <w:p>
            <w:pPr>
              <w:tabs>
                <w:tab w:val="left" w:pos="1035"/>
              </w:tabs>
              <w:spacing w:line="240" w:lineRule="auto"/>
              <w:ind w:firstLine="420" w:firstLineChars="200"/>
              <w:jc w:val="left"/>
              <w:rPr>
                <w:rFonts w:hint="eastAsia"/>
                <w:lang w:val="en-US" w:eastAsia="zh-CN"/>
              </w:rPr>
            </w:pPr>
            <w:r>
              <w:rPr>
                <w:rFonts w:hint="eastAsia"/>
                <w:lang w:val="en-US" w:eastAsia="zh-CN"/>
              </w:rPr>
              <w:t>2、具有有效的营业执照；</w:t>
            </w:r>
          </w:p>
          <w:p>
            <w:pPr>
              <w:tabs>
                <w:tab w:val="left" w:pos="1035"/>
              </w:tabs>
              <w:spacing w:line="240" w:lineRule="auto"/>
              <w:ind w:firstLine="420" w:firstLineChars="200"/>
              <w:jc w:val="left"/>
              <w:rPr>
                <w:rFonts w:hint="eastAsia" w:ascii="宋体" w:hAnsi="宋体" w:eastAsia="宋体" w:cs="宋体"/>
                <w:color w:val="auto"/>
                <w:szCs w:val="21"/>
                <w:highlight w:val="none"/>
                <w:lang w:val="en-US" w:eastAsia="zh-CN"/>
              </w:rPr>
            </w:pPr>
            <w:r>
              <w:rPr>
                <w:rFonts w:hint="eastAsia"/>
                <w:lang w:val="en-US" w:eastAsia="zh-CN"/>
              </w:rPr>
              <w:t>3、具有二类汽车维修资质（需具备维修本项目所有车型资质及条件）；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color w:val="auto"/>
                <w:szCs w:val="21"/>
                <w:highlight w:val="none"/>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宋体" w:hAnsi="宋体" w:cs="宋体"/>
                <w:color w:val="auto"/>
                <w:szCs w:val="21"/>
                <w:highlight w:val="none"/>
                <w:shd w:val="clear" w:color="auto" w:fill="FFFFFF"/>
              </w:rPr>
            </w:pPr>
            <w:bookmarkStart w:id="246" w:name="OLE_LINK6"/>
            <w:r>
              <w:rPr>
                <w:rFonts w:hint="eastAsia"/>
                <w:lang w:val="en-US" w:eastAsia="zh-CN"/>
              </w:rPr>
              <w:t>2022年1月1日至报价截止日期（以合同签订时间为准）至少具有一个合同金额在13万元及以上的车辆保养或维修服务等相关服务的业绩（提供合同扫描件）</w:t>
            </w:r>
            <w:bookmarkEnd w:id="24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pPr>
              <w:spacing w:line="400" w:lineRule="exact"/>
              <w:jc w:val="center"/>
              <w:rPr>
                <w:rFonts w:hint="eastAsia" w:ascii="宋体" w:hAnsi="宋体" w:cs="宋体"/>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满足项目需求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满足项目需求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注：1.提供营业执照复印件，并加盖</w:t>
      </w:r>
      <w:r>
        <w:rPr>
          <w:rFonts w:hint="eastAsia" w:hAnsi="宋体"/>
          <w:b/>
          <w:bCs/>
          <w:color w:val="auto"/>
          <w:sz w:val="21"/>
          <w:szCs w:val="21"/>
          <w:highlight w:val="none"/>
          <w:lang w:val="en-US" w:eastAsia="zh-CN"/>
        </w:rPr>
        <w:t>公</w:t>
      </w:r>
      <w:r>
        <w:rPr>
          <w:rFonts w:hint="eastAsia" w:hAnsi="宋体"/>
          <w:b/>
          <w:bCs/>
          <w:color w:val="auto"/>
          <w:sz w:val="21"/>
          <w:szCs w:val="21"/>
          <w:highlight w:val="none"/>
        </w:rPr>
        <w:t>章。</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pPr>
        <w:rPr>
          <w:color w:val="auto"/>
          <w:highlight w:val="none"/>
        </w:rPr>
      </w:pPr>
    </w:p>
    <w:p>
      <w:pPr>
        <w:pStyle w:val="5"/>
        <w:jc w:val="center"/>
        <w:rPr>
          <w:rFonts w:ascii="宋体" w:hAnsi="宋体" w:cs="宋体"/>
          <w:color w:val="auto"/>
          <w:sz w:val="28"/>
          <w:highlight w:val="none"/>
        </w:rPr>
      </w:pPr>
    </w:p>
    <w:p>
      <w:pPr>
        <w:rPr>
          <w:rFonts w:ascii="宋体" w:hAnsi="宋体" w:cs="宋体"/>
          <w:color w:val="auto"/>
          <w:sz w:val="28"/>
          <w:highlight w:val="none"/>
        </w:rPr>
      </w:pPr>
    </w:p>
    <w:p>
      <w:pPr>
        <w:pStyle w:val="2"/>
        <w:rPr>
          <w:rFonts w:ascii="宋体" w:hAnsi="宋体" w:cs="宋体"/>
          <w:color w:val="auto"/>
          <w:sz w:val="28"/>
          <w:highlight w:val="none"/>
        </w:rPr>
      </w:pPr>
    </w:p>
    <w:p>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pPr>
        <w:pStyle w:val="4"/>
        <w:spacing w:before="0" w:after="0" w:line="360" w:lineRule="auto"/>
        <w:jc w:val="center"/>
        <w:rPr>
          <w:rFonts w:ascii="宋体" w:hAnsi="宋体" w:eastAsia="宋体" w:cs="宋体"/>
          <w:color w:val="auto"/>
          <w:sz w:val="28"/>
          <w:highlight w:val="none"/>
        </w:rPr>
      </w:pPr>
      <w:bookmarkStart w:id="247" w:name="_Toc21066"/>
      <w:r>
        <w:rPr>
          <w:rFonts w:hint="eastAsia" w:ascii="宋体" w:hAnsi="宋体" w:eastAsia="宋体" w:cs="宋体"/>
          <w:color w:val="auto"/>
          <w:sz w:val="28"/>
          <w:highlight w:val="none"/>
        </w:rPr>
        <w:t>五、报价人承诺</w:t>
      </w:r>
      <w:bookmarkEnd w:id="247"/>
    </w:p>
    <w:p>
      <w:pPr>
        <w:pStyle w:val="2"/>
        <w:rPr>
          <w:color w:val="auto"/>
          <w:highlight w:val="none"/>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致：</w:t>
      </w:r>
      <w:r>
        <w:rPr>
          <w:rFonts w:hint="eastAsia" w:ascii="宋体" w:hAnsi="宋体" w:cs="宋体"/>
          <w:color w:val="auto"/>
          <w:sz w:val="21"/>
          <w:szCs w:val="21"/>
          <w:highlight w:val="none"/>
          <w:lang w:eastAsia="zh-CN"/>
        </w:rPr>
        <w:t>重庆首讯科技股份有限公司数智系统运维分公司</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竞争性比选文件中要求内容完全响应做出以下承诺：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1、我公司比选响应文件中所有资料都是真实、准确、完整的。</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2、我公司不存在资质挂靠或参与串标、围标情形。</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3、完全响应竞争性比选文件中的人员要求、响应内容要求、报价要求、</w:t>
      </w:r>
      <w:r>
        <w:rPr>
          <w:rFonts w:hint="eastAsia" w:ascii="宋体" w:hAnsi="宋体" w:cs="宋体"/>
          <w:color w:val="auto"/>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标准等要求。</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我公司中标，将完全</w:t>
      </w:r>
      <w:r>
        <w:rPr>
          <w:rFonts w:hint="eastAsia" w:ascii="宋体" w:hAnsi="宋体" w:cs="宋体"/>
          <w:color w:val="auto"/>
          <w:sz w:val="21"/>
          <w:szCs w:val="21"/>
          <w:highlight w:val="none"/>
          <w:lang w:val="en-US" w:eastAsia="zh-CN"/>
        </w:rPr>
        <w:t>服从</w:t>
      </w:r>
      <w:r>
        <w:rPr>
          <w:rFonts w:hint="eastAsia" w:hAnsi="宋体" w:cs="宋体"/>
          <w:color w:val="auto"/>
          <w:sz w:val="21"/>
          <w:szCs w:val="21"/>
          <w:highlight w:val="none"/>
          <w:lang w:val="en-US" w:eastAsia="zh-CN"/>
        </w:rPr>
        <w:t>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、如我公司违反上述承诺，隐瞒、提供虚假资料或不按竞争性比选文件要求组织实施，被贵方发现或被他人举报查实，无条件接受贵司的处罚，对造成的损失，任何法律和经济责任完全由我方承担。</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FF0000"/>
          <w:sz w:val="21"/>
          <w:szCs w:val="21"/>
          <w:highlight w:val="yellow"/>
        </w:rPr>
      </w:pPr>
    </w:p>
    <w:p>
      <w:pPr>
        <w:keepNext w:val="0"/>
        <w:keepLines w:val="0"/>
        <w:pageBreakBefore w:val="0"/>
        <w:widowControl w:val="0"/>
        <w:kinsoku/>
        <w:wordWrap/>
        <w:overflowPunct/>
        <w:topLinePunct w:val="0"/>
        <w:bidi w:val="0"/>
        <w:snapToGrid/>
        <w:spacing w:line="400" w:lineRule="exact"/>
        <w:textAlignment w:val="auto"/>
        <w:rPr>
          <w:rFonts w:hint="eastAsia" w:ascii="宋体" w:hAnsi="宋体" w:eastAsia="宋体" w:cs="宋体"/>
          <w:color w:val="auto"/>
          <w:sz w:val="21"/>
          <w:szCs w:val="21"/>
          <w:highlight w:val="none"/>
        </w:rPr>
      </w:pP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pPr>
        <w:keepNext w:val="0"/>
        <w:keepLines w:val="0"/>
        <w:pageBreakBefore w:val="0"/>
        <w:widowControl w:val="0"/>
        <w:kinsoku/>
        <w:wordWrap/>
        <w:overflowPunct/>
        <w:topLinePunct w:val="0"/>
        <w:bidi w:val="0"/>
        <w:snapToGrid/>
        <w:spacing w:line="400" w:lineRule="exact"/>
        <w:jc w:val="center"/>
        <w:textAlignment w:val="auto"/>
        <w:rPr>
          <w:rFonts w:hint="eastAsia" w:ascii="宋体" w:hAnsi="宋体"/>
          <w:b/>
          <w:bCs/>
          <w:color w:val="auto"/>
          <w:kern w:val="0"/>
          <w:szCs w:val="21"/>
          <w:highlight w:val="none"/>
        </w:rPr>
      </w:pPr>
      <w:r>
        <w:rPr>
          <w:rFonts w:hint="eastAsia" w:ascii="宋体" w:hAnsi="宋体" w:eastAsia="宋体" w:cs="宋体"/>
          <w:b/>
          <w:bCs/>
          <w:color w:val="auto"/>
          <w:sz w:val="21"/>
          <w:szCs w:val="21"/>
          <w:highlight w:val="none"/>
          <w:lang w:val="en-US" w:eastAsia="zh-CN"/>
        </w:rPr>
        <w:t xml:space="preserve">                         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pPr>
        <w:keepNext w:val="0"/>
        <w:keepLines w:val="0"/>
        <w:pageBreakBefore w:val="0"/>
        <w:widowControl w:val="0"/>
        <w:kinsoku/>
        <w:wordWrap/>
        <w:overflowPunct/>
        <w:topLinePunct w:val="0"/>
        <w:bidi w:val="0"/>
        <w:snapToGrid/>
        <w:spacing w:line="400" w:lineRule="exact"/>
        <w:textAlignment w:val="auto"/>
        <w:rPr>
          <w:rFonts w:hint="eastAsia" w:ascii="宋体" w:hAnsi="宋体"/>
          <w:b w:val="0"/>
          <w:bCs w:val="0"/>
          <w:color w:val="auto"/>
          <w:sz w:val="24"/>
          <w:highlight w:val="none"/>
        </w:rPr>
      </w:pPr>
      <w:r>
        <w:rPr>
          <w:rFonts w:hint="eastAsia" w:ascii="宋体" w:hAnsi="宋体"/>
          <w:b w:val="0"/>
          <w:bCs w:val="0"/>
          <w:color w:val="auto"/>
          <w:sz w:val="24"/>
          <w:highlight w:val="none"/>
        </w:rPr>
        <w:br w:type="page"/>
      </w:r>
    </w:p>
    <w:p>
      <w:pPr>
        <w:keepNext w:val="0"/>
        <w:keepLines w:val="0"/>
        <w:pageBreakBefore w:val="0"/>
        <w:widowControl w:val="0"/>
        <w:kinsoku/>
        <w:wordWrap/>
        <w:overflowPunct/>
        <w:topLinePunct w:val="0"/>
        <w:autoSpaceDE/>
        <w:autoSpaceDN/>
        <w:bidi w:val="0"/>
        <w:adjustRightInd/>
        <w:snapToGrid/>
        <w:jc w:val="center"/>
        <w:textAlignment w:val="auto"/>
        <w:outlineLvl w:val="1"/>
        <w:rPr>
          <w:rFonts w:hint="default" w:ascii="宋体" w:hAnsi="宋体" w:eastAsia="宋体" w:cs="宋体"/>
          <w:b/>
          <w:bCs/>
          <w:color w:val="auto"/>
          <w:kern w:val="0"/>
          <w:sz w:val="28"/>
          <w:szCs w:val="32"/>
          <w:highlight w:val="none"/>
          <w:lang w:val="en-US" w:eastAsia="zh-CN" w:bidi="ar-SA"/>
        </w:rPr>
      </w:pPr>
      <w:bookmarkStart w:id="248" w:name="_Toc22750"/>
      <w:r>
        <w:rPr>
          <w:rFonts w:hint="eastAsia" w:ascii="宋体" w:hAnsi="宋体" w:eastAsia="宋体" w:cs="宋体"/>
          <w:b/>
          <w:bCs/>
          <w:color w:val="auto"/>
          <w:kern w:val="0"/>
          <w:sz w:val="28"/>
          <w:szCs w:val="32"/>
          <w:highlight w:val="none"/>
          <w:lang w:val="en-US" w:eastAsia="zh-CN" w:bidi="ar-SA"/>
        </w:rPr>
        <w:t>六、报价人其他资料</w:t>
      </w:r>
      <w:bookmarkEnd w:id="248"/>
    </w:p>
    <w:p>
      <w:pPr>
        <w:pStyle w:val="2"/>
        <w:rPr>
          <w:rFonts w:ascii="宋体" w:hAnsi="宋体"/>
          <w:color w:val="auto"/>
          <w:sz w:val="24"/>
          <w:highlight w:val="none"/>
        </w:rPr>
      </w:pPr>
    </w:p>
    <w:p>
      <w:pPr>
        <w:rPr>
          <w:rFonts w:ascii="宋体" w:hAnsi="宋体"/>
          <w:color w:val="auto"/>
          <w:sz w:val="24"/>
          <w:highlight w:val="none"/>
        </w:rPr>
      </w:pPr>
    </w:p>
    <w:p>
      <w:pPr>
        <w:pStyle w:val="5"/>
        <w:spacing w:before="0" w:after="0" w:line="360" w:lineRule="auto"/>
        <w:jc w:val="center"/>
        <w:rPr>
          <w:color w:val="auto"/>
          <w:sz w:val="28"/>
          <w:szCs w:val="28"/>
          <w:highlight w:val="none"/>
        </w:rPr>
      </w:pPr>
      <w:bookmarkStart w:id="249" w:name="_Toc452107137"/>
      <w:bookmarkStart w:id="250" w:name="_Toc508110857"/>
      <w:bookmarkStart w:id="251" w:name="_Toc4375"/>
      <w:r>
        <w:rPr>
          <w:rFonts w:hint="eastAsia"/>
          <w:color w:val="auto"/>
          <w:sz w:val="28"/>
          <w:szCs w:val="28"/>
          <w:highlight w:val="none"/>
        </w:rPr>
        <w:t>（一）报价人基本信息表</w:t>
      </w:r>
      <w:bookmarkEnd w:id="249"/>
      <w:bookmarkEnd w:id="250"/>
      <w:bookmarkEnd w:id="251"/>
    </w:p>
    <w:p>
      <w:pPr>
        <w:pStyle w:val="26"/>
        <w:rPr>
          <w:color w:val="auto"/>
          <w:highlight w:val="none"/>
        </w:rPr>
      </w:pPr>
    </w:p>
    <w:tbl>
      <w:tblPr>
        <w:tblStyle w:val="4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auto"/>
                <w:szCs w:val="21"/>
                <w:highlight w:val="none"/>
              </w:rPr>
            </w:pPr>
          </w:p>
        </w:tc>
      </w:tr>
    </w:tbl>
    <w:p>
      <w:pPr>
        <w:pStyle w:val="2"/>
        <w:rPr>
          <w:rFonts w:hint="eastAsia" w:ascii="宋体" w:hAnsi="宋体" w:cs="宋体"/>
          <w:color w:val="auto"/>
          <w:sz w:val="28"/>
          <w:highlight w:val="none"/>
          <w:lang w:eastAsia="zh-CN"/>
        </w:rPr>
      </w:pPr>
    </w:p>
    <w:p>
      <w:pPr>
        <w:pStyle w:val="2"/>
        <w:rPr>
          <w:rFonts w:hint="eastAsia" w:ascii="宋体" w:hAnsi="宋体" w:cs="宋体"/>
          <w:color w:val="auto"/>
          <w:sz w:val="28"/>
          <w:highlight w:val="none"/>
          <w:lang w:eastAsia="zh-CN"/>
        </w:rPr>
      </w:pPr>
    </w:p>
    <w:p>
      <w:pPr>
        <w:autoSpaceDE w:val="0"/>
        <w:autoSpaceDN w:val="0"/>
        <w:adjustRightInd w:val="0"/>
        <w:snapToGrid w:val="0"/>
        <w:spacing w:line="360" w:lineRule="auto"/>
        <w:jc w:val="center"/>
        <w:rPr>
          <w:b/>
          <w:bCs/>
          <w:caps/>
          <w:color w:val="auto"/>
          <w:sz w:val="32"/>
          <w:szCs w:val="32"/>
          <w:highlight w:val="none"/>
        </w:rPr>
      </w:pP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rPr>
        <w:t>低价风险担保提交承诺书（如有）</w:t>
      </w:r>
    </w:p>
    <w:p>
      <w:pPr>
        <w:rPr>
          <w:color w:val="auto"/>
          <w:highlight w:val="none"/>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left="420" w:leftChars="200" w:right="420" w:rightChars="200"/>
        <w:jc w:val="center"/>
        <w:textAlignment w:val="auto"/>
        <w:rPr>
          <w:rFonts w:hint="eastAsia"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w:t>
      </w:r>
      <w:r>
        <w:rPr>
          <w:rFonts w:hint="eastAsia" w:ascii="宋体" w:hAnsi="宋体"/>
          <w:snapToGrid w:val="0"/>
          <w:color w:val="auto"/>
          <w:kern w:val="0"/>
          <w:sz w:val="32"/>
          <w:szCs w:val="32"/>
          <w:highlight w:val="none"/>
          <w:lang w:val="en-US" w:eastAsia="zh-CN"/>
        </w:rPr>
        <w:t>采用经评审的最低投标价法，且</w:t>
      </w:r>
      <w:r>
        <w:rPr>
          <w:rFonts w:hint="eastAsia" w:ascii="宋体" w:hAnsi="宋体"/>
          <w:snapToGrid w:val="0"/>
          <w:color w:val="auto"/>
          <w:kern w:val="0"/>
          <w:sz w:val="32"/>
          <w:szCs w:val="32"/>
          <w:highlight w:val="none"/>
        </w:rPr>
        <w:t>投标报价低于</w:t>
      </w:r>
      <w:r>
        <w:rPr>
          <w:rFonts w:hint="eastAsia" w:ascii="宋体" w:hAnsi="宋体"/>
          <w:snapToGrid w:val="0"/>
          <w:color w:val="auto"/>
          <w:kern w:val="0"/>
          <w:sz w:val="32"/>
          <w:szCs w:val="32"/>
          <w:highlight w:val="none"/>
          <w:lang w:val="en-US" w:eastAsia="zh-CN"/>
        </w:rPr>
        <w:t>采购</w:t>
      </w:r>
      <w:r>
        <w:rPr>
          <w:rFonts w:hint="eastAsia" w:ascii="宋体" w:hAnsi="宋体"/>
          <w:snapToGrid w:val="0"/>
          <w:color w:val="auto"/>
          <w:kern w:val="0"/>
          <w:sz w:val="32"/>
          <w:szCs w:val="32"/>
          <w:highlight w:val="none"/>
        </w:rPr>
        <w:t>项目最高限价的85%时采用）</w:t>
      </w:r>
    </w:p>
    <w:p>
      <w:pPr>
        <w:autoSpaceDE w:val="0"/>
        <w:autoSpaceDN w:val="0"/>
        <w:adjustRightInd w:val="0"/>
        <w:snapToGrid w:val="0"/>
        <w:spacing w:line="360" w:lineRule="auto"/>
        <w:jc w:val="center"/>
        <w:rPr>
          <w:rFonts w:hint="eastAsia" w:ascii="宋体" w:hAnsi="宋体"/>
          <w:snapToGrid w:val="0"/>
          <w:color w:val="auto"/>
          <w:kern w:val="0"/>
          <w:sz w:val="32"/>
          <w:szCs w:val="32"/>
          <w:highlight w:val="none"/>
        </w:rPr>
      </w:pPr>
    </w:p>
    <w:p>
      <w:pPr>
        <w:autoSpaceDE w:val="0"/>
        <w:autoSpaceDN w:val="0"/>
        <w:adjustRightInd w:val="0"/>
        <w:snapToGrid w:val="0"/>
        <w:spacing w:line="360" w:lineRule="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采购人</w:t>
      </w:r>
      <w:r>
        <w:rPr>
          <w:rFonts w:hint="eastAsia" w:ascii="宋体" w:hAnsi="宋体" w:cs="宋体"/>
          <w:snapToGrid w:val="0"/>
          <w:color w:val="auto"/>
          <w:kern w:val="0"/>
          <w:szCs w:val="21"/>
          <w:highlight w:val="none"/>
          <w:u w:val="single"/>
        </w:rPr>
        <w:t>名称）</w:t>
      </w:r>
      <w:r>
        <w:rPr>
          <w:rFonts w:hint="eastAsia" w:ascii="宋体" w:hAnsi="宋体" w:cs="宋体"/>
          <w:snapToGrid w:val="0"/>
          <w:color w:val="auto"/>
          <w:kern w:val="0"/>
          <w:szCs w:val="21"/>
          <w:highlight w:val="none"/>
        </w:rPr>
        <w:t>：</w:t>
      </w:r>
    </w:p>
    <w:p>
      <w:pPr>
        <w:autoSpaceDE w:val="0"/>
        <w:autoSpaceDN w:val="0"/>
        <w:adjustRightInd w:val="0"/>
        <w:snapToGrid w:val="0"/>
        <w:spacing w:line="360" w:lineRule="auto"/>
        <w:ind w:firstLine="420" w:firstLineChars="200"/>
        <w:jc w:val="left"/>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（报价人名称）</w:t>
      </w:r>
      <w:r>
        <w:rPr>
          <w:rFonts w:hint="eastAsia" w:ascii="宋体" w:hAnsi="宋体" w:cs="宋体"/>
          <w:snapToGrid w:val="0"/>
          <w:color w:val="auto"/>
          <w:kern w:val="0"/>
          <w:szCs w:val="21"/>
          <w:highlight w:val="none"/>
        </w:rPr>
        <w:t>参加了你单位</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w:t>
      </w:r>
      <w:r>
        <w:rPr>
          <w:rFonts w:hint="eastAsia" w:ascii="宋体" w:hAnsi="宋体" w:cs="宋体"/>
          <w:snapToGrid w:val="0"/>
          <w:color w:val="auto"/>
          <w:kern w:val="0"/>
          <w:szCs w:val="21"/>
          <w:highlight w:val="none"/>
          <w:lang w:val="en-US" w:eastAsia="zh-CN"/>
        </w:rPr>
        <w:t>比选</w:t>
      </w:r>
      <w:r>
        <w:rPr>
          <w:rFonts w:hint="eastAsia" w:ascii="宋体" w:hAnsi="宋体" w:cs="宋体"/>
          <w:snapToGrid w:val="0"/>
          <w:color w:val="auto"/>
          <w:kern w:val="0"/>
          <w:szCs w:val="21"/>
          <w:highlight w:val="none"/>
        </w:rPr>
        <w:t>。我公司投标报价低于最高限价的85%，若获得中标资格，我公司承诺按照</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的规定递交低价风险担保。同时，我公司已落实低价风险担保的提交方案，承诺如采用保函形式提交低价风险担保，保函的格式和内容符合</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的要求。否则，我公司愿承担</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中约定的，因未按规定递交低价风险担保的相应责任。</w:t>
      </w:r>
    </w:p>
    <w:p>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p>
    <w:p>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pPr>
        <w:autoSpaceDE w:val="0"/>
        <w:autoSpaceDN w:val="0"/>
        <w:adjustRightInd w:val="0"/>
        <w:snapToGrid w:val="0"/>
        <w:spacing w:line="360" w:lineRule="auto"/>
        <w:ind w:firstLine="640"/>
        <w:rPr>
          <w:rFonts w:hint="eastAsia" w:ascii="宋体" w:hAnsi="宋体" w:cs="宋体"/>
          <w:snapToGrid w:val="0"/>
          <w:color w:val="auto"/>
          <w:kern w:val="0"/>
          <w:sz w:val="32"/>
          <w:szCs w:val="32"/>
          <w:highlight w:val="none"/>
        </w:rPr>
      </w:pPr>
    </w:p>
    <w:p>
      <w:pPr>
        <w:tabs>
          <w:tab w:val="left" w:pos="7140"/>
          <w:tab w:val="left" w:pos="7560"/>
          <w:tab w:val="left" w:pos="8300"/>
        </w:tabs>
        <w:autoSpaceDE w:val="0"/>
        <w:autoSpaceDN w:val="0"/>
        <w:adjustRightInd w:val="0"/>
        <w:ind w:firstLine="420" w:firstLineChars="200"/>
        <w:jc w:val="right"/>
        <w:rPr>
          <w:rFonts w:hint="eastAsia" w:ascii="宋体" w:hAnsi="宋体"/>
          <w:snapToGrid w:val="0"/>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lang w:val="en-US" w:eastAsia="zh-CN"/>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pPr>
        <w:jc w:val="right"/>
        <w:rPr>
          <w:rFonts w:hint="eastAsia" w:ascii="宋体" w:hAnsi="宋体"/>
          <w:color w:val="auto"/>
          <w:kern w:val="0"/>
          <w:szCs w:val="21"/>
          <w:highlight w:val="none"/>
          <w:u w:val="single"/>
        </w:rPr>
      </w:pPr>
    </w:p>
    <w:p>
      <w:pPr>
        <w:jc w:val="right"/>
        <w:rPr>
          <w:rFonts w:hint="eastAsia"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rPr>
          <w:rFonts w:hint="eastAsia"/>
          <w:color w:val="auto"/>
          <w:highlight w:val="none"/>
        </w:rPr>
      </w:pPr>
    </w:p>
    <w:p>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pPr>
        <w:pStyle w:val="2"/>
        <w:jc w:val="center"/>
        <w:rPr>
          <w:rFonts w:ascii="宋体" w:hAnsi="宋体"/>
          <w:b/>
          <w:bCs/>
          <w:color w:val="auto"/>
          <w:sz w:val="24"/>
          <w:highlight w:val="none"/>
        </w:rPr>
      </w:pPr>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三</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其他材料</w:t>
      </w:r>
    </w:p>
    <w:p>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p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p>
    <w:p>
      <w:pPr>
        <w:pStyle w:val="2"/>
        <w:rPr>
          <w:rFonts w:ascii="宋体" w:hAnsi="宋体"/>
          <w:color w:val="auto"/>
          <w:sz w:val="24"/>
          <w:highlight w:val="none"/>
        </w:rPr>
      </w:pPr>
    </w:p>
    <w:p>
      <w:pPr>
        <w:pStyle w:val="2"/>
        <w:rPr>
          <w:color w:val="auto"/>
          <w:highlight w:val="none"/>
        </w:rPr>
      </w:pPr>
    </w:p>
    <w:p>
      <w:pPr>
        <w:rPr>
          <w:rFonts w:ascii="宋体" w:hAnsi="宋体" w:cs="宋体"/>
          <w:color w:val="auto"/>
          <w:sz w:val="28"/>
          <w:highlight w:val="none"/>
        </w:rPr>
      </w:pPr>
    </w:p>
    <w:bookmarkEnd w:id="244"/>
    <w:bookmarkEnd w:id="245"/>
    <w:p>
      <w:pPr>
        <w:rPr>
          <w:color w:val="auto"/>
          <w:highlight w:val="none"/>
        </w:rPr>
      </w:pPr>
    </w:p>
    <w:sectPr>
      <w:footerReference r:id="rId13" w:type="first"/>
      <w:footerReference r:id="rId12"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6B48381C-6697-441B-8C15-D2C319D7E45C}"/>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2" w:fontKey="{26974D26-1AA4-4755-9437-55B238E8A64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Wonder Arial">
    <w:panose1 w:val="00000500000000000000"/>
    <w:charset w:val="00"/>
    <w:family w:val="auto"/>
    <w:pitch w:val="default"/>
    <w:sig w:usb0="00000003" w:usb1="00000000" w:usb2="00000000" w:usb3="00000000" w:csb0="00000011" w:csb1="00000000"/>
    <w:embedRegular r:id="rId3" w:fontKey="{2251092F-798B-4660-9936-0D3E287100CC}"/>
  </w:font>
  <w:font w:name="方正小标宋_GBK">
    <w:panose1 w:val="02000000000000000000"/>
    <w:charset w:val="86"/>
    <w:family w:val="script"/>
    <w:pitch w:val="default"/>
    <w:sig w:usb0="A00002BF" w:usb1="38CF7CFA" w:usb2="00082016" w:usb3="00000000" w:csb0="00040001" w:csb1="00000000"/>
    <w:embedRegular r:id="rId4" w:fontKey="{A5B1AF37-CD8E-4307-B59F-760CEC769B93}"/>
  </w:font>
  <w:font w:name="仿宋">
    <w:panose1 w:val="02010609060101010101"/>
    <w:charset w:val="86"/>
    <w:family w:val="modern"/>
    <w:pitch w:val="default"/>
    <w:sig w:usb0="800002BF" w:usb1="38CF7CFA" w:usb2="00000016" w:usb3="00000000" w:csb0="00040001" w:csb1="00000000"/>
    <w:embedRegular r:id="rId5" w:fontKey="{D346D7E3-B514-4DAC-B7D5-D04831B285F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p>
  <w:p>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46"/>
      </w:rPr>
    </w:pPr>
    <w:r>
      <w:fldChar w:fldCharType="begin"/>
    </w:r>
    <w:r>
      <w:rPr>
        <w:rStyle w:val="46"/>
      </w:rPr>
      <w:instrText xml:space="preserve">PAGE  </w:instrText>
    </w:r>
    <w:r>
      <w:fldChar w:fldCharType="end"/>
    </w:r>
  </w:p>
  <w:p>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79</w:t>
    </w:r>
    <w:r>
      <w:fldChar w:fldCharType="end"/>
    </w:r>
  </w:p>
  <w:p>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35</w:t>
    </w:r>
    <w:r>
      <w:fldChar w:fldCharType="end"/>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78</w:t>
    </w:r>
    <w:r>
      <w:fldChar w:fldCharType="end"/>
    </w:r>
  </w:p>
  <w:p>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JPt0q/LAQAAnAMAAA4AAAAAAAAAAQAgAAAAHgEAAGRycy9lMm9E&#10;b2MueG1sUEsFBgAAAAAGAAYAWQEAAFsFAAAAAA==&#10;">
              <v:fill on="f" focussize="0,0"/>
              <v:stroke on="f"/>
              <v:imagedata o:title=""/>
              <o:lock v:ext="edit" aspectratio="f"/>
              <v:textbox inset="0mm,0mm,0mm,0mm" style="mso-fit-shape-to-text:t;">
                <w:txbxContent>
                  <w:p>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GPUvHXLAQAAnAMAAA4AAAAAAAAAAQAgAAAAHgEAAGRycy9lMm9E&#10;b2MueG1sUEsFBgAAAAAGAAYAWQEAAFsFAAAAAA==&#10;">
              <v:fill on="f" focussize="0,0"/>
              <v:stroke on="f"/>
              <v:imagedata o:title=""/>
              <o:lock v:ext="edit" aspectratio="f"/>
              <v:textbox inset="0mm,0mm,0mm,0mm" style="mso-fit-shape-to-text:t;">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A12678"/>
    <w:multiLevelType w:val="singleLevel"/>
    <w:tmpl w:val="C6A12678"/>
    <w:lvl w:ilvl="0" w:tentative="0">
      <w:start w:val="1"/>
      <w:numFmt w:val="chineseCounting"/>
      <w:suff w:val="nothing"/>
      <w:lvlText w:val="%1、"/>
      <w:lvlJc w:val="left"/>
      <w:rPr>
        <w:rFonts w:hint="eastAsia"/>
      </w:rPr>
    </w:lvl>
  </w:abstractNum>
  <w:abstractNum w:abstractNumId="1">
    <w:nsid w:val="C87D13C6"/>
    <w:multiLevelType w:val="singleLevel"/>
    <w:tmpl w:val="C87D13C6"/>
    <w:lvl w:ilvl="0" w:tentative="0">
      <w:start w:val="3"/>
      <w:numFmt w:val="chineseCounting"/>
      <w:suff w:val="space"/>
      <w:lvlText w:val="第%1章"/>
      <w:lvlJc w:val="left"/>
      <w:rPr>
        <w:rFonts w:hint="eastAsia"/>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61027DAC"/>
    <w:multiLevelType w:val="singleLevel"/>
    <w:tmpl w:val="61027DAC"/>
    <w:lvl w:ilvl="0" w:tentative="0">
      <w:start w:val="1"/>
      <w:numFmt w:val="chineseCounting"/>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9409D"/>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2BB1"/>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0FE8"/>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16D"/>
    <w:rsid w:val="004E6A77"/>
    <w:rsid w:val="004F05BD"/>
    <w:rsid w:val="004F5845"/>
    <w:rsid w:val="004F7236"/>
    <w:rsid w:val="005016AD"/>
    <w:rsid w:val="00501C58"/>
    <w:rsid w:val="00502E26"/>
    <w:rsid w:val="00504EDE"/>
    <w:rsid w:val="005118BF"/>
    <w:rsid w:val="005142E6"/>
    <w:rsid w:val="00514351"/>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56818"/>
    <w:rsid w:val="0056532A"/>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5F4BA9"/>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0961"/>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17FC0"/>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5468"/>
    <w:rsid w:val="008D63E7"/>
    <w:rsid w:val="008D73C7"/>
    <w:rsid w:val="008E0572"/>
    <w:rsid w:val="008E1519"/>
    <w:rsid w:val="008E287D"/>
    <w:rsid w:val="008E45A7"/>
    <w:rsid w:val="008F3C41"/>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08B5"/>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00A2"/>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16F7"/>
    <w:rsid w:val="00B235BC"/>
    <w:rsid w:val="00B24221"/>
    <w:rsid w:val="00B2626C"/>
    <w:rsid w:val="00B307F7"/>
    <w:rsid w:val="00B32CAE"/>
    <w:rsid w:val="00B3421D"/>
    <w:rsid w:val="00B35641"/>
    <w:rsid w:val="00B36173"/>
    <w:rsid w:val="00B36CF9"/>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5731"/>
    <w:rsid w:val="00C07B2A"/>
    <w:rsid w:val="00C11F6E"/>
    <w:rsid w:val="00C13F63"/>
    <w:rsid w:val="00C15831"/>
    <w:rsid w:val="00C168B7"/>
    <w:rsid w:val="00C20F3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E7A03"/>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6E"/>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914021"/>
    <w:rsid w:val="01A8609A"/>
    <w:rsid w:val="021567F9"/>
    <w:rsid w:val="02195A53"/>
    <w:rsid w:val="023B0129"/>
    <w:rsid w:val="026929FF"/>
    <w:rsid w:val="02765598"/>
    <w:rsid w:val="027A61A2"/>
    <w:rsid w:val="029D41FE"/>
    <w:rsid w:val="02A800C5"/>
    <w:rsid w:val="02C44496"/>
    <w:rsid w:val="02C6499B"/>
    <w:rsid w:val="02C91CAA"/>
    <w:rsid w:val="02DF1744"/>
    <w:rsid w:val="037D0CD2"/>
    <w:rsid w:val="038B3366"/>
    <w:rsid w:val="03981B5E"/>
    <w:rsid w:val="03996EAD"/>
    <w:rsid w:val="03F60BFA"/>
    <w:rsid w:val="03F7698E"/>
    <w:rsid w:val="04023CC8"/>
    <w:rsid w:val="040A5FDF"/>
    <w:rsid w:val="04254C1F"/>
    <w:rsid w:val="042674F4"/>
    <w:rsid w:val="042D3C13"/>
    <w:rsid w:val="04722D72"/>
    <w:rsid w:val="047A0BBC"/>
    <w:rsid w:val="04B96A4C"/>
    <w:rsid w:val="04BD0CD5"/>
    <w:rsid w:val="04C12ED8"/>
    <w:rsid w:val="04DC5749"/>
    <w:rsid w:val="04E26FED"/>
    <w:rsid w:val="04E41F94"/>
    <w:rsid w:val="04FD6633"/>
    <w:rsid w:val="050C0CE6"/>
    <w:rsid w:val="052E2B3B"/>
    <w:rsid w:val="054416D2"/>
    <w:rsid w:val="05507F0F"/>
    <w:rsid w:val="056F72B2"/>
    <w:rsid w:val="057A1FA9"/>
    <w:rsid w:val="057B3040"/>
    <w:rsid w:val="05871A0A"/>
    <w:rsid w:val="05A42E7B"/>
    <w:rsid w:val="05A70EA9"/>
    <w:rsid w:val="05D55D36"/>
    <w:rsid w:val="060C2525"/>
    <w:rsid w:val="062756FD"/>
    <w:rsid w:val="065F7A31"/>
    <w:rsid w:val="066C6238"/>
    <w:rsid w:val="067C53E7"/>
    <w:rsid w:val="06820F5E"/>
    <w:rsid w:val="06951992"/>
    <w:rsid w:val="06AE2ABA"/>
    <w:rsid w:val="06C75DF5"/>
    <w:rsid w:val="06DD02BB"/>
    <w:rsid w:val="06E43F57"/>
    <w:rsid w:val="06E71F51"/>
    <w:rsid w:val="06F965AD"/>
    <w:rsid w:val="07050666"/>
    <w:rsid w:val="071C4DB7"/>
    <w:rsid w:val="071C6236"/>
    <w:rsid w:val="07277E4A"/>
    <w:rsid w:val="07362674"/>
    <w:rsid w:val="073B54B2"/>
    <w:rsid w:val="07537EF9"/>
    <w:rsid w:val="07815EE7"/>
    <w:rsid w:val="08170505"/>
    <w:rsid w:val="081748AE"/>
    <w:rsid w:val="08635851"/>
    <w:rsid w:val="08C2359B"/>
    <w:rsid w:val="09041814"/>
    <w:rsid w:val="092D7BDC"/>
    <w:rsid w:val="09332D2B"/>
    <w:rsid w:val="093E2D64"/>
    <w:rsid w:val="09472203"/>
    <w:rsid w:val="097E5D48"/>
    <w:rsid w:val="09831EA8"/>
    <w:rsid w:val="098B1DA7"/>
    <w:rsid w:val="09907951"/>
    <w:rsid w:val="099F43E4"/>
    <w:rsid w:val="09A31A61"/>
    <w:rsid w:val="09BA7A85"/>
    <w:rsid w:val="09DE1094"/>
    <w:rsid w:val="09E2475B"/>
    <w:rsid w:val="0A3F34B7"/>
    <w:rsid w:val="0A4B11BE"/>
    <w:rsid w:val="0A563315"/>
    <w:rsid w:val="0A7B4003"/>
    <w:rsid w:val="0A8E5B8D"/>
    <w:rsid w:val="0AA240FA"/>
    <w:rsid w:val="0AAC0CBB"/>
    <w:rsid w:val="0ABA5513"/>
    <w:rsid w:val="0AD84BD3"/>
    <w:rsid w:val="0AE941D3"/>
    <w:rsid w:val="0B1061C6"/>
    <w:rsid w:val="0B2B08D5"/>
    <w:rsid w:val="0B56249A"/>
    <w:rsid w:val="0B6D6042"/>
    <w:rsid w:val="0BA35012"/>
    <w:rsid w:val="0BB825ED"/>
    <w:rsid w:val="0BC0647C"/>
    <w:rsid w:val="0BD7624B"/>
    <w:rsid w:val="0BF26817"/>
    <w:rsid w:val="0C22464A"/>
    <w:rsid w:val="0C2B72AE"/>
    <w:rsid w:val="0C5C6F5A"/>
    <w:rsid w:val="0C623EAC"/>
    <w:rsid w:val="0C946488"/>
    <w:rsid w:val="0CAD24AF"/>
    <w:rsid w:val="0CB27F3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EFE54A8"/>
    <w:rsid w:val="0F041CC7"/>
    <w:rsid w:val="0F042317"/>
    <w:rsid w:val="0F1209F8"/>
    <w:rsid w:val="0F3416B8"/>
    <w:rsid w:val="0F4C19DA"/>
    <w:rsid w:val="0F4C7D05"/>
    <w:rsid w:val="0F4F31AF"/>
    <w:rsid w:val="0F5F17BD"/>
    <w:rsid w:val="0F6B69CB"/>
    <w:rsid w:val="0F8E3402"/>
    <w:rsid w:val="0F90531D"/>
    <w:rsid w:val="0FAD64B5"/>
    <w:rsid w:val="0FB21FD4"/>
    <w:rsid w:val="0FBB6B5F"/>
    <w:rsid w:val="0FE80928"/>
    <w:rsid w:val="0FFF5930"/>
    <w:rsid w:val="10A265EF"/>
    <w:rsid w:val="10DF2B28"/>
    <w:rsid w:val="10EC4A0F"/>
    <w:rsid w:val="11156FC6"/>
    <w:rsid w:val="113B7E94"/>
    <w:rsid w:val="11485B0D"/>
    <w:rsid w:val="114C7209"/>
    <w:rsid w:val="1154158B"/>
    <w:rsid w:val="11612713"/>
    <w:rsid w:val="117076B2"/>
    <w:rsid w:val="119E6579"/>
    <w:rsid w:val="11C55830"/>
    <w:rsid w:val="11D435DD"/>
    <w:rsid w:val="11DA3C43"/>
    <w:rsid w:val="1220326C"/>
    <w:rsid w:val="123A67B6"/>
    <w:rsid w:val="125670E6"/>
    <w:rsid w:val="125E1A9C"/>
    <w:rsid w:val="1276289F"/>
    <w:rsid w:val="1288522D"/>
    <w:rsid w:val="129D6A95"/>
    <w:rsid w:val="12AF4046"/>
    <w:rsid w:val="12CE506D"/>
    <w:rsid w:val="12F65490"/>
    <w:rsid w:val="12F73D2A"/>
    <w:rsid w:val="12F9698E"/>
    <w:rsid w:val="13112273"/>
    <w:rsid w:val="131C7C5D"/>
    <w:rsid w:val="13377838"/>
    <w:rsid w:val="13511DF6"/>
    <w:rsid w:val="138B4634"/>
    <w:rsid w:val="138F1214"/>
    <w:rsid w:val="13BF412F"/>
    <w:rsid w:val="13D101C7"/>
    <w:rsid w:val="1400440E"/>
    <w:rsid w:val="142669A3"/>
    <w:rsid w:val="143805F9"/>
    <w:rsid w:val="144729D8"/>
    <w:rsid w:val="148E78CB"/>
    <w:rsid w:val="149F4D92"/>
    <w:rsid w:val="14A13E6D"/>
    <w:rsid w:val="14AB614D"/>
    <w:rsid w:val="14B33D84"/>
    <w:rsid w:val="14B96C2B"/>
    <w:rsid w:val="14BC05FD"/>
    <w:rsid w:val="1518152A"/>
    <w:rsid w:val="151A11AA"/>
    <w:rsid w:val="15436E45"/>
    <w:rsid w:val="15507C7E"/>
    <w:rsid w:val="155D7127"/>
    <w:rsid w:val="15664AEF"/>
    <w:rsid w:val="158E23E1"/>
    <w:rsid w:val="159D7EA6"/>
    <w:rsid w:val="159F1BF9"/>
    <w:rsid w:val="15B71B1D"/>
    <w:rsid w:val="15DF7C6E"/>
    <w:rsid w:val="15E63361"/>
    <w:rsid w:val="15E9057E"/>
    <w:rsid w:val="15FF7D56"/>
    <w:rsid w:val="160B0227"/>
    <w:rsid w:val="16262AA8"/>
    <w:rsid w:val="16864176"/>
    <w:rsid w:val="16866209"/>
    <w:rsid w:val="16913315"/>
    <w:rsid w:val="16E04880"/>
    <w:rsid w:val="16E33BB8"/>
    <w:rsid w:val="16F86032"/>
    <w:rsid w:val="17081A7A"/>
    <w:rsid w:val="17292C0C"/>
    <w:rsid w:val="176F50FE"/>
    <w:rsid w:val="17D10049"/>
    <w:rsid w:val="17DD0B49"/>
    <w:rsid w:val="17F1563C"/>
    <w:rsid w:val="17F23C73"/>
    <w:rsid w:val="180F3B80"/>
    <w:rsid w:val="181B1411"/>
    <w:rsid w:val="181C1400"/>
    <w:rsid w:val="18223BBF"/>
    <w:rsid w:val="183F64D4"/>
    <w:rsid w:val="18406E44"/>
    <w:rsid w:val="185C1918"/>
    <w:rsid w:val="186039EF"/>
    <w:rsid w:val="1880349D"/>
    <w:rsid w:val="18D435BC"/>
    <w:rsid w:val="18E261BC"/>
    <w:rsid w:val="19193365"/>
    <w:rsid w:val="19261639"/>
    <w:rsid w:val="1935660C"/>
    <w:rsid w:val="195D5C0E"/>
    <w:rsid w:val="19B4513C"/>
    <w:rsid w:val="19B64CC2"/>
    <w:rsid w:val="19BA69A5"/>
    <w:rsid w:val="19DF6D3F"/>
    <w:rsid w:val="19E24459"/>
    <w:rsid w:val="1A305FF4"/>
    <w:rsid w:val="1A3D7EBE"/>
    <w:rsid w:val="1A4353A0"/>
    <w:rsid w:val="1A491DAC"/>
    <w:rsid w:val="1A557489"/>
    <w:rsid w:val="1AF45443"/>
    <w:rsid w:val="1B075A0C"/>
    <w:rsid w:val="1B4A1EFB"/>
    <w:rsid w:val="1B67066F"/>
    <w:rsid w:val="1B7229E4"/>
    <w:rsid w:val="1B7A5EC7"/>
    <w:rsid w:val="1B8E5EC0"/>
    <w:rsid w:val="1BB77A2D"/>
    <w:rsid w:val="1CB33990"/>
    <w:rsid w:val="1CF6260F"/>
    <w:rsid w:val="1CF83AEA"/>
    <w:rsid w:val="1CF911FC"/>
    <w:rsid w:val="1D30711C"/>
    <w:rsid w:val="1D376F7C"/>
    <w:rsid w:val="1D6914D5"/>
    <w:rsid w:val="1D7C7A22"/>
    <w:rsid w:val="1D7E09CF"/>
    <w:rsid w:val="1D9F1A69"/>
    <w:rsid w:val="1DC81497"/>
    <w:rsid w:val="1DE41480"/>
    <w:rsid w:val="1E2139B7"/>
    <w:rsid w:val="1E6750EF"/>
    <w:rsid w:val="1E6816C8"/>
    <w:rsid w:val="1E6A01BF"/>
    <w:rsid w:val="1E7A14A8"/>
    <w:rsid w:val="1E7F32B0"/>
    <w:rsid w:val="1EBA058B"/>
    <w:rsid w:val="1EBB622E"/>
    <w:rsid w:val="1EEA13A6"/>
    <w:rsid w:val="1EF77A66"/>
    <w:rsid w:val="1EFE64E9"/>
    <w:rsid w:val="1F15650D"/>
    <w:rsid w:val="1F1F101A"/>
    <w:rsid w:val="1F6207D0"/>
    <w:rsid w:val="1F9522DE"/>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977807"/>
    <w:rsid w:val="219A6D4B"/>
    <w:rsid w:val="21C2735E"/>
    <w:rsid w:val="21DB2198"/>
    <w:rsid w:val="21E57FA3"/>
    <w:rsid w:val="21F04618"/>
    <w:rsid w:val="21FB5A74"/>
    <w:rsid w:val="222E74EE"/>
    <w:rsid w:val="223D47BB"/>
    <w:rsid w:val="22567B0B"/>
    <w:rsid w:val="226827C0"/>
    <w:rsid w:val="227C6EFF"/>
    <w:rsid w:val="22942795"/>
    <w:rsid w:val="22A10D06"/>
    <w:rsid w:val="22B665A5"/>
    <w:rsid w:val="22C925E0"/>
    <w:rsid w:val="22D24DF0"/>
    <w:rsid w:val="22E46F4A"/>
    <w:rsid w:val="22F20159"/>
    <w:rsid w:val="22F644A3"/>
    <w:rsid w:val="23005537"/>
    <w:rsid w:val="233C2C53"/>
    <w:rsid w:val="23486890"/>
    <w:rsid w:val="236F1F61"/>
    <w:rsid w:val="23AB4CDF"/>
    <w:rsid w:val="23C37A75"/>
    <w:rsid w:val="240C056B"/>
    <w:rsid w:val="24220F3E"/>
    <w:rsid w:val="2423604B"/>
    <w:rsid w:val="243A3F7E"/>
    <w:rsid w:val="24436391"/>
    <w:rsid w:val="2450121E"/>
    <w:rsid w:val="2487622C"/>
    <w:rsid w:val="24973094"/>
    <w:rsid w:val="24A55EAE"/>
    <w:rsid w:val="24AD6D9A"/>
    <w:rsid w:val="24E82B16"/>
    <w:rsid w:val="251418FC"/>
    <w:rsid w:val="25A845B3"/>
    <w:rsid w:val="25A8541A"/>
    <w:rsid w:val="25B6156F"/>
    <w:rsid w:val="25CD1458"/>
    <w:rsid w:val="25EB71B7"/>
    <w:rsid w:val="26154215"/>
    <w:rsid w:val="261A0BE6"/>
    <w:rsid w:val="26392A41"/>
    <w:rsid w:val="263C7691"/>
    <w:rsid w:val="265E2776"/>
    <w:rsid w:val="26666FDC"/>
    <w:rsid w:val="268D2A9B"/>
    <w:rsid w:val="26AB763C"/>
    <w:rsid w:val="26B267E7"/>
    <w:rsid w:val="26F131DC"/>
    <w:rsid w:val="26F65310"/>
    <w:rsid w:val="27052D05"/>
    <w:rsid w:val="27082804"/>
    <w:rsid w:val="270832AE"/>
    <w:rsid w:val="27357F9F"/>
    <w:rsid w:val="277A4BC2"/>
    <w:rsid w:val="27A4553F"/>
    <w:rsid w:val="27D35135"/>
    <w:rsid w:val="27EF1935"/>
    <w:rsid w:val="280A1B75"/>
    <w:rsid w:val="283962F8"/>
    <w:rsid w:val="285F2F19"/>
    <w:rsid w:val="287A36F4"/>
    <w:rsid w:val="288458E7"/>
    <w:rsid w:val="28A33A20"/>
    <w:rsid w:val="28A47F17"/>
    <w:rsid w:val="290212C1"/>
    <w:rsid w:val="290D5ED8"/>
    <w:rsid w:val="29656DCE"/>
    <w:rsid w:val="296E75F6"/>
    <w:rsid w:val="298B4B23"/>
    <w:rsid w:val="29AE1E32"/>
    <w:rsid w:val="29B71FDB"/>
    <w:rsid w:val="29CA4E9C"/>
    <w:rsid w:val="29CF18DD"/>
    <w:rsid w:val="29D65D23"/>
    <w:rsid w:val="29D875FE"/>
    <w:rsid w:val="29E259F5"/>
    <w:rsid w:val="29F232B2"/>
    <w:rsid w:val="2A0B100E"/>
    <w:rsid w:val="2A0F3808"/>
    <w:rsid w:val="2A194E5D"/>
    <w:rsid w:val="2A21554B"/>
    <w:rsid w:val="2A594BC2"/>
    <w:rsid w:val="2A9F7561"/>
    <w:rsid w:val="2AA90FA0"/>
    <w:rsid w:val="2AB00538"/>
    <w:rsid w:val="2AB31CE2"/>
    <w:rsid w:val="2AB55266"/>
    <w:rsid w:val="2AB92259"/>
    <w:rsid w:val="2B2341D4"/>
    <w:rsid w:val="2B487382"/>
    <w:rsid w:val="2B552F60"/>
    <w:rsid w:val="2B7841A6"/>
    <w:rsid w:val="2BB367B9"/>
    <w:rsid w:val="2BC45071"/>
    <w:rsid w:val="2BE12008"/>
    <w:rsid w:val="2C13380B"/>
    <w:rsid w:val="2C184D47"/>
    <w:rsid w:val="2C796A89"/>
    <w:rsid w:val="2C8D51A4"/>
    <w:rsid w:val="2CB2228D"/>
    <w:rsid w:val="2CBD3A96"/>
    <w:rsid w:val="2CC74339"/>
    <w:rsid w:val="2CCC23F7"/>
    <w:rsid w:val="2CCE1414"/>
    <w:rsid w:val="2CF93ABF"/>
    <w:rsid w:val="2D1E27A3"/>
    <w:rsid w:val="2D394FF5"/>
    <w:rsid w:val="2D3A4062"/>
    <w:rsid w:val="2D623014"/>
    <w:rsid w:val="2D766528"/>
    <w:rsid w:val="2D9207EC"/>
    <w:rsid w:val="2E4A6ED7"/>
    <w:rsid w:val="2E6A704D"/>
    <w:rsid w:val="2E782484"/>
    <w:rsid w:val="2E8A6255"/>
    <w:rsid w:val="2F0B1048"/>
    <w:rsid w:val="2F141AAA"/>
    <w:rsid w:val="2F9A6191"/>
    <w:rsid w:val="2F9E402D"/>
    <w:rsid w:val="2FBB6CAD"/>
    <w:rsid w:val="2FCA4353"/>
    <w:rsid w:val="2FE55D75"/>
    <w:rsid w:val="2FF23F99"/>
    <w:rsid w:val="300A288E"/>
    <w:rsid w:val="30236367"/>
    <w:rsid w:val="30331BC6"/>
    <w:rsid w:val="303E7E03"/>
    <w:rsid w:val="304A182B"/>
    <w:rsid w:val="30700C52"/>
    <w:rsid w:val="30757C00"/>
    <w:rsid w:val="307D5D65"/>
    <w:rsid w:val="30B34CE3"/>
    <w:rsid w:val="30CB1C83"/>
    <w:rsid w:val="30ED2830"/>
    <w:rsid w:val="30FB0CBD"/>
    <w:rsid w:val="316B2857"/>
    <w:rsid w:val="31743902"/>
    <w:rsid w:val="31832D29"/>
    <w:rsid w:val="319D5339"/>
    <w:rsid w:val="319F2F47"/>
    <w:rsid w:val="31A974F8"/>
    <w:rsid w:val="31D20CDE"/>
    <w:rsid w:val="31DD2413"/>
    <w:rsid w:val="31F37E23"/>
    <w:rsid w:val="31FE689A"/>
    <w:rsid w:val="32223DC6"/>
    <w:rsid w:val="325A02A1"/>
    <w:rsid w:val="329032EF"/>
    <w:rsid w:val="329970EF"/>
    <w:rsid w:val="32B35AAA"/>
    <w:rsid w:val="33135210"/>
    <w:rsid w:val="3326373F"/>
    <w:rsid w:val="334459AC"/>
    <w:rsid w:val="33705A64"/>
    <w:rsid w:val="33A055AF"/>
    <w:rsid w:val="33A51E80"/>
    <w:rsid w:val="33EE589E"/>
    <w:rsid w:val="33F03D7B"/>
    <w:rsid w:val="340329A9"/>
    <w:rsid w:val="342645AD"/>
    <w:rsid w:val="342B057B"/>
    <w:rsid w:val="342E1467"/>
    <w:rsid w:val="34335C8F"/>
    <w:rsid w:val="34617CD8"/>
    <w:rsid w:val="34753860"/>
    <w:rsid w:val="34A61339"/>
    <w:rsid w:val="34BE3738"/>
    <w:rsid w:val="34CC3006"/>
    <w:rsid w:val="34E27153"/>
    <w:rsid w:val="34F3793E"/>
    <w:rsid w:val="35124480"/>
    <w:rsid w:val="3523213B"/>
    <w:rsid w:val="35574E9C"/>
    <w:rsid w:val="35712E34"/>
    <w:rsid w:val="359B4383"/>
    <w:rsid w:val="35C10F67"/>
    <w:rsid w:val="35D02637"/>
    <w:rsid w:val="35D1164F"/>
    <w:rsid w:val="35ED793B"/>
    <w:rsid w:val="35F84740"/>
    <w:rsid w:val="36166661"/>
    <w:rsid w:val="361D0A54"/>
    <w:rsid w:val="36240AB2"/>
    <w:rsid w:val="36383125"/>
    <w:rsid w:val="366C082D"/>
    <w:rsid w:val="368C3523"/>
    <w:rsid w:val="368C388A"/>
    <w:rsid w:val="36C90DD1"/>
    <w:rsid w:val="37456995"/>
    <w:rsid w:val="374634AB"/>
    <w:rsid w:val="37684573"/>
    <w:rsid w:val="37704489"/>
    <w:rsid w:val="37710026"/>
    <w:rsid w:val="3787039F"/>
    <w:rsid w:val="37925427"/>
    <w:rsid w:val="379C734C"/>
    <w:rsid w:val="37A55DCC"/>
    <w:rsid w:val="37CA04FF"/>
    <w:rsid w:val="37D30771"/>
    <w:rsid w:val="37EC0BB8"/>
    <w:rsid w:val="3823349B"/>
    <w:rsid w:val="38995839"/>
    <w:rsid w:val="38A65E3F"/>
    <w:rsid w:val="39265074"/>
    <w:rsid w:val="392B274A"/>
    <w:rsid w:val="394C68A5"/>
    <w:rsid w:val="395E479A"/>
    <w:rsid w:val="396024B0"/>
    <w:rsid w:val="39675804"/>
    <w:rsid w:val="3987236F"/>
    <w:rsid w:val="39A36C2D"/>
    <w:rsid w:val="39AA29B9"/>
    <w:rsid w:val="39CC77A1"/>
    <w:rsid w:val="39E52630"/>
    <w:rsid w:val="39E71AEC"/>
    <w:rsid w:val="39F60058"/>
    <w:rsid w:val="3A0948D8"/>
    <w:rsid w:val="3A104089"/>
    <w:rsid w:val="3A8217DE"/>
    <w:rsid w:val="3A822B01"/>
    <w:rsid w:val="3AB8426E"/>
    <w:rsid w:val="3ACF765C"/>
    <w:rsid w:val="3AD278CD"/>
    <w:rsid w:val="3AFA4BE5"/>
    <w:rsid w:val="3B2A44B8"/>
    <w:rsid w:val="3B2B6476"/>
    <w:rsid w:val="3B3101AC"/>
    <w:rsid w:val="3BBC038E"/>
    <w:rsid w:val="3BFE3F02"/>
    <w:rsid w:val="3C2972FD"/>
    <w:rsid w:val="3C321F4D"/>
    <w:rsid w:val="3C5B4444"/>
    <w:rsid w:val="3C7760E1"/>
    <w:rsid w:val="3C7D419A"/>
    <w:rsid w:val="3C852047"/>
    <w:rsid w:val="3C941FF2"/>
    <w:rsid w:val="3CA00003"/>
    <w:rsid w:val="3CA13116"/>
    <w:rsid w:val="3CA925AE"/>
    <w:rsid w:val="3CF877AB"/>
    <w:rsid w:val="3D306CB2"/>
    <w:rsid w:val="3D32729D"/>
    <w:rsid w:val="3D485E54"/>
    <w:rsid w:val="3D6644C9"/>
    <w:rsid w:val="3D667959"/>
    <w:rsid w:val="3D8230F2"/>
    <w:rsid w:val="3D886E2C"/>
    <w:rsid w:val="3DAA5519"/>
    <w:rsid w:val="3DC413E8"/>
    <w:rsid w:val="3DC50166"/>
    <w:rsid w:val="3DCA34BB"/>
    <w:rsid w:val="3DD83D60"/>
    <w:rsid w:val="3E044CAE"/>
    <w:rsid w:val="3E12201C"/>
    <w:rsid w:val="3E427218"/>
    <w:rsid w:val="3E674A82"/>
    <w:rsid w:val="3E817133"/>
    <w:rsid w:val="3E9207B3"/>
    <w:rsid w:val="3EA72ABE"/>
    <w:rsid w:val="3EAD4174"/>
    <w:rsid w:val="3EAD7F9C"/>
    <w:rsid w:val="3EB32892"/>
    <w:rsid w:val="3EBC3336"/>
    <w:rsid w:val="3EDE79C6"/>
    <w:rsid w:val="3EF65530"/>
    <w:rsid w:val="3EF9D3F1"/>
    <w:rsid w:val="3EFD584F"/>
    <w:rsid w:val="3F064AE9"/>
    <w:rsid w:val="3F3B0C43"/>
    <w:rsid w:val="3F431BA8"/>
    <w:rsid w:val="3F4C62B0"/>
    <w:rsid w:val="3F7279F0"/>
    <w:rsid w:val="3F9717D1"/>
    <w:rsid w:val="3FA70E1B"/>
    <w:rsid w:val="3FB2485B"/>
    <w:rsid w:val="3FC23E6D"/>
    <w:rsid w:val="3FDD431D"/>
    <w:rsid w:val="402A34B8"/>
    <w:rsid w:val="40360CD1"/>
    <w:rsid w:val="40361D66"/>
    <w:rsid w:val="406060C3"/>
    <w:rsid w:val="40613E30"/>
    <w:rsid w:val="40736573"/>
    <w:rsid w:val="407D7357"/>
    <w:rsid w:val="409B4A07"/>
    <w:rsid w:val="40BF6E39"/>
    <w:rsid w:val="40C25B7F"/>
    <w:rsid w:val="40F66678"/>
    <w:rsid w:val="40FB7928"/>
    <w:rsid w:val="410E1C56"/>
    <w:rsid w:val="4120577A"/>
    <w:rsid w:val="416C142E"/>
    <w:rsid w:val="41976EDF"/>
    <w:rsid w:val="41F533C3"/>
    <w:rsid w:val="41FD121E"/>
    <w:rsid w:val="421A7627"/>
    <w:rsid w:val="4233112B"/>
    <w:rsid w:val="42401E98"/>
    <w:rsid w:val="42430F44"/>
    <w:rsid w:val="42872311"/>
    <w:rsid w:val="428B5762"/>
    <w:rsid w:val="42D47C2B"/>
    <w:rsid w:val="42D8334B"/>
    <w:rsid w:val="42DA32B5"/>
    <w:rsid w:val="433543AC"/>
    <w:rsid w:val="43420FE8"/>
    <w:rsid w:val="434513F0"/>
    <w:rsid w:val="43702851"/>
    <w:rsid w:val="43CA4F48"/>
    <w:rsid w:val="43D1776E"/>
    <w:rsid w:val="4424604A"/>
    <w:rsid w:val="442967DE"/>
    <w:rsid w:val="443F6CBF"/>
    <w:rsid w:val="445014AB"/>
    <w:rsid w:val="44CE660D"/>
    <w:rsid w:val="44F40BBD"/>
    <w:rsid w:val="454F0B76"/>
    <w:rsid w:val="45795008"/>
    <w:rsid w:val="4579514B"/>
    <w:rsid w:val="457E2BBE"/>
    <w:rsid w:val="457F72E8"/>
    <w:rsid w:val="45DE083B"/>
    <w:rsid w:val="45E076C0"/>
    <w:rsid w:val="45F36067"/>
    <w:rsid w:val="460C0745"/>
    <w:rsid w:val="4621349D"/>
    <w:rsid w:val="463122D8"/>
    <w:rsid w:val="4632053D"/>
    <w:rsid w:val="46577675"/>
    <w:rsid w:val="4662415A"/>
    <w:rsid w:val="4662498C"/>
    <w:rsid w:val="466B351D"/>
    <w:rsid w:val="467D3C68"/>
    <w:rsid w:val="46A022D9"/>
    <w:rsid w:val="46A9554B"/>
    <w:rsid w:val="46B21457"/>
    <w:rsid w:val="46BE1A6C"/>
    <w:rsid w:val="46BE6647"/>
    <w:rsid w:val="46D0233C"/>
    <w:rsid w:val="46EE3897"/>
    <w:rsid w:val="471B3499"/>
    <w:rsid w:val="4730142A"/>
    <w:rsid w:val="474608B5"/>
    <w:rsid w:val="477914D1"/>
    <w:rsid w:val="478E4BD2"/>
    <w:rsid w:val="47B50031"/>
    <w:rsid w:val="47DA0270"/>
    <w:rsid w:val="47DD756D"/>
    <w:rsid w:val="48037A8A"/>
    <w:rsid w:val="482303E2"/>
    <w:rsid w:val="48377D23"/>
    <w:rsid w:val="486634EE"/>
    <w:rsid w:val="48807890"/>
    <w:rsid w:val="48A64B98"/>
    <w:rsid w:val="48BC156D"/>
    <w:rsid w:val="48F765BE"/>
    <w:rsid w:val="490445F2"/>
    <w:rsid w:val="490935A0"/>
    <w:rsid w:val="49320F23"/>
    <w:rsid w:val="4944230E"/>
    <w:rsid w:val="49DD73AE"/>
    <w:rsid w:val="49F95BD6"/>
    <w:rsid w:val="4A14705F"/>
    <w:rsid w:val="4A382D24"/>
    <w:rsid w:val="4A3F3D22"/>
    <w:rsid w:val="4A80416C"/>
    <w:rsid w:val="4AA73240"/>
    <w:rsid w:val="4AB72272"/>
    <w:rsid w:val="4AD703A4"/>
    <w:rsid w:val="4B305E1B"/>
    <w:rsid w:val="4B507061"/>
    <w:rsid w:val="4B5279C2"/>
    <w:rsid w:val="4BB92D8E"/>
    <w:rsid w:val="4BD07B58"/>
    <w:rsid w:val="4BE87BA5"/>
    <w:rsid w:val="4C3176AB"/>
    <w:rsid w:val="4C415DC1"/>
    <w:rsid w:val="4C6E278E"/>
    <w:rsid w:val="4CB8592E"/>
    <w:rsid w:val="4CFF538B"/>
    <w:rsid w:val="4D4D7800"/>
    <w:rsid w:val="4D7251FF"/>
    <w:rsid w:val="4D742AA0"/>
    <w:rsid w:val="4DBE6397"/>
    <w:rsid w:val="4DE50C0B"/>
    <w:rsid w:val="4DFD4F82"/>
    <w:rsid w:val="4E11105D"/>
    <w:rsid w:val="4E16225A"/>
    <w:rsid w:val="4E253AB8"/>
    <w:rsid w:val="4E472C92"/>
    <w:rsid w:val="4E4C60DC"/>
    <w:rsid w:val="4E512ECE"/>
    <w:rsid w:val="4E581E19"/>
    <w:rsid w:val="4E824D97"/>
    <w:rsid w:val="4E9C3B15"/>
    <w:rsid w:val="4E9D5C2D"/>
    <w:rsid w:val="4EBA57C1"/>
    <w:rsid w:val="4EE23149"/>
    <w:rsid w:val="4EEA14D6"/>
    <w:rsid w:val="4F047E0A"/>
    <w:rsid w:val="4F477F24"/>
    <w:rsid w:val="4FA91AAC"/>
    <w:rsid w:val="4FB533B2"/>
    <w:rsid w:val="4FBD0FF5"/>
    <w:rsid w:val="4FC854D7"/>
    <w:rsid w:val="50142DE1"/>
    <w:rsid w:val="5015687B"/>
    <w:rsid w:val="501926CA"/>
    <w:rsid w:val="501B74FB"/>
    <w:rsid w:val="503109FF"/>
    <w:rsid w:val="505E3D68"/>
    <w:rsid w:val="508F700E"/>
    <w:rsid w:val="50A12709"/>
    <w:rsid w:val="50B7737A"/>
    <w:rsid w:val="50D13748"/>
    <w:rsid w:val="50D547D5"/>
    <w:rsid w:val="51480E67"/>
    <w:rsid w:val="516A440A"/>
    <w:rsid w:val="51BA5A6F"/>
    <w:rsid w:val="51C42E16"/>
    <w:rsid w:val="525351F4"/>
    <w:rsid w:val="52553923"/>
    <w:rsid w:val="525A6FBC"/>
    <w:rsid w:val="526C0997"/>
    <w:rsid w:val="52855A65"/>
    <w:rsid w:val="52B50F28"/>
    <w:rsid w:val="53311AB3"/>
    <w:rsid w:val="53317F44"/>
    <w:rsid w:val="533D33D1"/>
    <w:rsid w:val="53511F1B"/>
    <w:rsid w:val="53670B33"/>
    <w:rsid w:val="537735FB"/>
    <w:rsid w:val="53775B6A"/>
    <w:rsid w:val="538F5737"/>
    <w:rsid w:val="53D02E0F"/>
    <w:rsid w:val="53D43855"/>
    <w:rsid w:val="53D6214F"/>
    <w:rsid w:val="53E564F4"/>
    <w:rsid w:val="53EE1101"/>
    <w:rsid w:val="53FC4E8E"/>
    <w:rsid w:val="541717DC"/>
    <w:rsid w:val="54271D5C"/>
    <w:rsid w:val="546535D1"/>
    <w:rsid w:val="546F145D"/>
    <w:rsid w:val="54976AA9"/>
    <w:rsid w:val="549A3F89"/>
    <w:rsid w:val="54DE0134"/>
    <w:rsid w:val="553C46BA"/>
    <w:rsid w:val="55494082"/>
    <w:rsid w:val="557312C2"/>
    <w:rsid w:val="557D5B60"/>
    <w:rsid w:val="55834A19"/>
    <w:rsid w:val="55F27046"/>
    <w:rsid w:val="55F526C6"/>
    <w:rsid w:val="56066DC9"/>
    <w:rsid w:val="56102AA8"/>
    <w:rsid w:val="56363AF5"/>
    <w:rsid w:val="564E1228"/>
    <w:rsid w:val="565F7971"/>
    <w:rsid w:val="56A6131D"/>
    <w:rsid w:val="56A82B00"/>
    <w:rsid w:val="56BC5AD0"/>
    <w:rsid w:val="56D00C68"/>
    <w:rsid w:val="57022BD1"/>
    <w:rsid w:val="5710216E"/>
    <w:rsid w:val="57212B27"/>
    <w:rsid w:val="572809C2"/>
    <w:rsid w:val="572F0264"/>
    <w:rsid w:val="57480C4D"/>
    <w:rsid w:val="574C27F3"/>
    <w:rsid w:val="574E404B"/>
    <w:rsid w:val="576F5440"/>
    <w:rsid w:val="57895A45"/>
    <w:rsid w:val="57C5313B"/>
    <w:rsid w:val="57D807D4"/>
    <w:rsid w:val="57EA7969"/>
    <w:rsid w:val="57F740F4"/>
    <w:rsid w:val="57FA3D86"/>
    <w:rsid w:val="57FB55F0"/>
    <w:rsid w:val="58263B5F"/>
    <w:rsid w:val="58316065"/>
    <w:rsid w:val="58717B4F"/>
    <w:rsid w:val="58750691"/>
    <w:rsid w:val="58AB575D"/>
    <w:rsid w:val="58AD6247"/>
    <w:rsid w:val="58BC728D"/>
    <w:rsid w:val="58DD0763"/>
    <w:rsid w:val="59445F91"/>
    <w:rsid w:val="594B060D"/>
    <w:rsid w:val="59815208"/>
    <w:rsid w:val="59F001A4"/>
    <w:rsid w:val="5A1E2DE7"/>
    <w:rsid w:val="5A20427A"/>
    <w:rsid w:val="5A345CFC"/>
    <w:rsid w:val="5A395FB6"/>
    <w:rsid w:val="5A436A2D"/>
    <w:rsid w:val="5A56330D"/>
    <w:rsid w:val="5AD653FB"/>
    <w:rsid w:val="5ADE459E"/>
    <w:rsid w:val="5AEB4FF2"/>
    <w:rsid w:val="5B0A066E"/>
    <w:rsid w:val="5B123FA7"/>
    <w:rsid w:val="5B52515F"/>
    <w:rsid w:val="5B590DB7"/>
    <w:rsid w:val="5B5E18A4"/>
    <w:rsid w:val="5B613C0E"/>
    <w:rsid w:val="5B955E96"/>
    <w:rsid w:val="5B9B3675"/>
    <w:rsid w:val="5BA26571"/>
    <w:rsid w:val="5BA846CE"/>
    <w:rsid w:val="5BCA6564"/>
    <w:rsid w:val="5BD66D67"/>
    <w:rsid w:val="5C107D40"/>
    <w:rsid w:val="5C1E3775"/>
    <w:rsid w:val="5C381264"/>
    <w:rsid w:val="5C5D4718"/>
    <w:rsid w:val="5C672644"/>
    <w:rsid w:val="5C8132C7"/>
    <w:rsid w:val="5CA23A25"/>
    <w:rsid w:val="5CC26330"/>
    <w:rsid w:val="5CD67F41"/>
    <w:rsid w:val="5CDB70F2"/>
    <w:rsid w:val="5CDF760E"/>
    <w:rsid w:val="5CF93D1F"/>
    <w:rsid w:val="5D017C51"/>
    <w:rsid w:val="5D4165A3"/>
    <w:rsid w:val="5D463591"/>
    <w:rsid w:val="5D4F2A78"/>
    <w:rsid w:val="5D5A5DCC"/>
    <w:rsid w:val="5D792AE4"/>
    <w:rsid w:val="5DC25C67"/>
    <w:rsid w:val="5DD97571"/>
    <w:rsid w:val="5E130737"/>
    <w:rsid w:val="5E203FF8"/>
    <w:rsid w:val="5E2F58D3"/>
    <w:rsid w:val="5E35651C"/>
    <w:rsid w:val="5E5A06FD"/>
    <w:rsid w:val="5E757500"/>
    <w:rsid w:val="5E7E7C15"/>
    <w:rsid w:val="5E9342EC"/>
    <w:rsid w:val="5EA27CF7"/>
    <w:rsid w:val="5EBC3C1E"/>
    <w:rsid w:val="5F05700F"/>
    <w:rsid w:val="5F3815EE"/>
    <w:rsid w:val="5F5C32D6"/>
    <w:rsid w:val="5F5E4E5C"/>
    <w:rsid w:val="5F762886"/>
    <w:rsid w:val="5F853E5C"/>
    <w:rsid w:val="5FA870CA"/>
    <w:rsid w:val="5FA92D9F"/>
    <w:rsid w:val="5FAC2DE4"/>
    <w:rsid w:val="5FB10E83"/>
    <w:rsid w:val="5FB70ABF"/>
    <w:rsid w:val="5FC47F2C"/>
    <w:rsid w:val="600E788A"/>
    <w:rsid w:val="6011673F"/>
    <w:rsid w:val="604130CF"/>
    <w:rsid w:val="60663C94"/>
    <w:rsid w:val="60794FD4"/>
    <w:rsid w:val="60814FEF"/>
    <w:rsid w:val="60AE4E89"/>
    <w:rsid w:val="60D23EEC"/>
    <w:rsid w:val="60D32F5A"/>
    <w:rsid w:val="60ED65EB"/>
    <w:rsid w:val="610E2B4C"/>
    <w:rsid w:val="61561E7C"/>
    <w:rsid w:val="619945D7"/>
    <w:rsid w:val="61C24BFD"/>
    <w:rsid w:val="61DE43D4"/>
    <w:rsid w:val="61E06967"/>
    <w:rsid w:val="61ED083B"/>
    <w:rsid w:val="621F1FA5"/>
    <w:rsid w:val="624216A0"/>
    <w:rsid w:val="624D3C1F"/>
    <w:rsid w:val="626343A0"/>
    <w:rsid w:val="626736F9"/>
    <w:rsid w:val="626B4082"/>
    <w:rsid w:val="626B6B00"/>
    <w:rsid w:val="626F338E"/>
    <w:rsid w:val="628E1BE9"/>
    <w:rsid w:val="62D06FF9"/>
    <w:rsid w:val="62D366FB"/>
    <w:rsid w:val="62D765EB"/>
    <w:rsid w:val="630E4191"/>
    <w:rsid w:val="63392A57"/>
    <w:rsid w:val="636B22CC"/>
    <w:rsid w:val="636C198B"/>
    <w:rsid w:val="63B65AC7"/>
    <w:rsid w:val="63D7428B"/>
    <w:rsid w:val="640C4C0D"/>
    <w:rsid w:val="643B5584"/>
    <w:rsid w:val="644206E0"/>
    <w:rsid w:val="645830D7"/>
    <w:rsid w:val="64675414"/>
    <w:rsid w:val="647258C3"/>
    <w:rsid w:val="64AA2E73"/>
    <w:rsid w:val="64B8434A"/>
    <w:rsid w:val="64C5008F"/>
    <w:rsid w:val="64D427F8"/>
    <w:rsid w:val="64E8446E"/>
    <w:rsid w:val="64F64031"/>
    <w:rsid w:val="64FA2A38"/>
    <w:rsid w:val="65376B47"/>
    <w:rsid w:val="654042F5"/>
    <w:rsid w:val="654153AA"/>
    <w:rsid w:val="6548171E"/>
    <w:rsid w:val="654B1D34"/>
    <w:rsid w:val="655F01DD"/>
    <w:rsid w:val="65A663D3"/>
    <w:rsid w:val="65B732B6"/>
    <w:rsid w:val="65F66C79"/>
    <w:rsid w:val="660447CA"/>
    <w:rsid w:val="6608422E"/>
    <w:rsid w:val="665622BC"/>
    <w:rsid w:val="6660772E"/>
    <w:rsid w:val="66653739"/>
    <w:rsid w:val="66654ED2"/>
    <w:rsid w:val="666C4EE6"/>
    <w:rsid w:val="66792487"/>
    <w:rsid w:val="669924E4"/>
    <w:rsid w:val="66FB0FDC"/>
    <w:rsid w:val="66FC5AFF"/>
    <w:rsid w:val="6709462E"/>
    <w:rsid w:val="6777196F"/>
    <w:rsid w:val="678A1ED0"/>
    <w:rsid w:val="67AB61F8"/>
    <w:rsid w:val="67BA7741"/>
    <w:rsid w:val="67BD2A93"/>
    <w:rsid w:val="67E6170C"/>
    <w:rsid w:val="680D0CA5"/>
    <w:rsid w:val="68A45648"/>
    <w:rsid w:val="68A5668C"/>
    <w:rsid w:val="68B20836"/>
    <w:rsid w:val="68D27297"/>
    <w:rsid w:val="690540BF"/>
    <w:rsid w:val="6911241F"/>
    <w:rsid w:val="69555DCB"/>
    <w:rsid w:val="69B139C4"/>
    <w:rsid w:val="69B67115"/>
    <w:rsid w:val="69B82DF4"/>
    <w:rsid w:val="69EE20B7"/>
    <w:rsid w:val="69EF53B4"/>
    <w:rsid w:val="69FD541B"/>
    <w:rsid w:val="6A126DD2"/>
    <w:rsid w:val="6A420E56"/>
    <w:rsid w:val="6A705FAC"/>
    <w:rsid w:val="6A8F6861"/>
    <w:rsid w:val="6A924E32"/>
    <w:rsid w:val="6A94008C"/>
    <w:rsid w:val="6AC635A8"/>
    <w:rsid w:val="6AC91EBE"/>
    <w:rsid w:val="6AE60947"/>
    <w:rsid w:val="6AEF6EB8"/>
    <w:rsid w:val="6B0B374F"/>
    <w:rsid w:val="6B0E6D92"/>
    <w:rsid w:val="6B17074E"/>
    <w:rsid w:val="6B1F0CCB"/>
    <w:rsid w:val="6B265CE7"/>
    <w:rsid w:val="6B5A17AD"/>
    <w:rsid w:val="6B6234E5"/>
    <w:rsid w:val="6B797260"/>
    <w:rsid w:val="6BA179A3"/>
    <w:rsid w:val="6BAD59B4"/>
    <w:rsid w:val="6BBD11F5"/>
    <w:rsid w:val="6BCE1834"/>
    <w:rsid w:val="6BD12800"/>
    <w:rsid w:val="6BEA109C"/>
    <w:rsid w:val="6C022DB1"/>
    <w:rsid w:val="6C2C5ED9"/>
    <w:rsid w:val="6C5E02FC"/>
    <w:rsid w:val="6C6153F8"/>
    <w:rsid w:val="6C721812"/>
    <w:rsid w:val="6C8B0F52"/>
    <w:rsid w:val="6CDD0DD0"/>
    <w:rsid w:val="6CFA7DB1"/>
    <w:rsid w:val="6CFC61C8"/>
    <w:rsid w:val="6D0127E4"/>
    <w:rsid w:val="6D0333AE"/>
    <w:rsid w:val="6D135E16"/>
    <w:rsid w:val="6D1C168A"/>
    <w:rsid w:val="6D347A31"/>
    <w:rsid w:val="6D3668DD"/>
    <w:rsid w:val="6D471CAB"/>
    <w:rsid w:val="6DAC0977"/>
    <w:rsid w:val="6DB941BD"/>
    <w:rsid w:val="6DC60F63"/>
    <w:rsid w:val="6E087D91"/>
    <w:rsid w:val="6E0E4B39"/>
    <w:rsid w:val="6E151E87"/>
    <w:rsid w:val="6E242C89"/>
    <w:rsid w:val="6E351C40"/>
    <w:rsid w:val="6E4C770B"/>
    <w:rsid w:val="6E5F1098"/>
    <w:rsid w:val="6E6F2793"/>
    <w:rsid w:val="6E703D8E"/>
    <w:rsid w:val="6E84323D"/>
    <w:rsid w:val="6E942A76"/>
    <w:rsid w:val="6EA41FA2"/>
    <w:rsid w:val="6EB44AD4"/>
    <w:rsid w:val="6EF2F120"/>
    <w:rsid w:val="6F313FE8"/>
    <w:rsid w:val="6F381CAC"/>
    <w:rsid w:val="6F6128C1"/>
    <w:rsid w:val="6F9C6902"/>
    <w:rsid w:val="6FA06BAE"/>
    <w:rsid w:val="6FA0729C"/>
    <w:rsid w:val="6FD1458F"/>
    <w:rsid w:val="6FEF4FB0"/>
    <w:rsid w:val="700A492A"/>
    <w:rsid w:val="700A66D9"/>
    <w:rsid w:val="70100CA2"/>
    <w:rsid w:val="701E73E0"/>
    <w:rsid w:val="70393572"/>
    <w:rsid w:val="703C5B33"/>
    <w:rsid w:val="707A7026"/>
    <w:rsid w:val="70A24D48"/>
    <w:rsid w:val="70B36D70"/>
    <w:rsid w:val="70BA64EF"/>
    <w:rsid w:val="70C900DF"/>
    <w:rsid w:val="70F80524"/>
    <w:rsid w:val="710A2419"/>
    <w:rsid w:val="71326D32"/>
    <w:rsid w:val="7133726C"/>
    <w:rsid w:val="714C2CD0"/>
    <w:rsid w:val="715A596A"/>
    <w:rsid w:val="717C247D"/>
    <w:rsid w:val="717F26E4"/>
    <w:rsid w:val="71816B8E"/>
    <w:rsid w:val="71832D29"/>
    <w:rsid w:val="71907818"/>
    <w:rsid w:val="71B252F9"/>
    <w:rsid w:val="71BE777B"/>
    <w:rsid w:val="71E95916"/>
    <w:rsid w:val="7203413E"/>
    <w:rsid w:val="720E21AB"/>
    <w:rsid w:val="721F14FF"/>
    <w:rsid w:val="723914F7"/>
    <w:rsid w:val="7250588C"/>
    <w:rsid w:val="726F5278"/>
    <w:rsid w:val="727E786A"/>
    <w:rsid w:val="72887FD4"/>
    <w:rsid w:val="72BD0544"/>
    <w:rsid w:val="72C0472D"/>
    <w:rsid w:val="72D11D5C"/>
    <w:rsid w:val="72E85DAD"/>
    <w:rsid w:val="730560E4"/>
    <w:rsid w:val="732303D9"/>
    <w:rsid w:val="73313B47"/>
    <w:rsid w:val="733F48EB"/>
    <w:rsid w:val="73532CC9"/>
    <w:rsid w:val="73A56BAF"/>
    <w:rsid w:val="73B01775"/>
    <w:rsid w:val="73D37E0A"/>
    <w:rsid w:val="73D73D11"/>
    <w:rsid w:val="73D937EE"/>
    <w:rsid w:val="744975DD"/>
    <w:rsid w:val="74614F7E"/>
    <w:rsid w:val="746920A5"/>
    <w:rsid w:val="74C23CF5"/>
    <w:rsid w:val="74CB1EDB"/>
    <w:rsid w:val="74CF3033"/>
    <w:rsid w:val="74D2032A"/>
    <w:rsid w:val="74DE73F5"/>
    <w:rsid w:val="75046088"/>
    <w:rsid w:val="751E77AF"/>
    <w:rsid w:val="75574211"/>
    <w:rsid w:val="75660FA8"/>
    <w:rsid w:val="756B6212"/>
    <w:rsid w:val="757B0F4D"/>
    <w:rsid w:val="75D07F8B"/>
    <w:rsid w:val="75EE5669"/>
    <w:rsid w:val="762C4025"/>
    <w:rsid w:val="76957051"/>
    <w:rsid w:val="76BD4232"/>
    <w:rsid w:val="76C10199"/>
    <w:rsid w:val="76C57BCB"/>
    <w:rsid w:val="76F927CD"/>
    <w:rsid w:val="773B2934"/>
    <w:rsid w:val="773E064E"/>
    <w:rsid w:val="774573E5"/>
    <w:rsid w:val="774E1211"/>
    <w:rsid w:val="77585379"/>
    <w:rsid w:val="777B71D8"/>
    <w:rsid w:val="77A54D53"/>
    <w:rsid w:val="77D75F2B"/>
    <w:rsid w:val="77FC6767"/>
    <w:rsid w:val="7809377A"/>
    <w:rsid w:val="781A0BEC"/>
    <w:rsid w:val="78202415"/>
    <w:rsid w:val="78213FC9"/>
    <w:rsid w:val="78701D9C"/>
    <w:rsid w:val="788A40D3"/>
    <w:rsid w:val="789B4D29"/>
    <w:rsid w:val="78AA3303"/>
    <w:rsid w:val="78FA0671"/>
    <w:rsid w:val="793A634F"/>
    <w:rsid w:val="798635EB"/>
    <w:rsid w:val="79A5750A"/>
    <w:rsid w:val="79CB6702"/>
    <w:rsid w:val="79F301DD"/>
    <w:rsid w:val="79F842AA"/>
    <w:rsid w:val="79F87A3D"/>
    <w:rsid w:val="7A0C1011"/>
    <w:rsid w:val="7A0E7A81"/>
    <w:rsid w:val="7A321CDB"/>
    <w:rsid w:val="7A32318A"/>
    <w:rsid w:val="7A427BA1"/>
    <w:rsid w:val="7A567B6E"/>
    <w:rsid w:val="7A6E32C8"/>
    <w:rsid w:val="7A9B7337"/>
    <w:rsid w:val="7ABE4C8F"/>
    <w:rsid w:val="7AC900CF"/>
    <w:rsid w:val="7B052FBD"/>
    <w:rsid w:val="7B3C7DB9"/>
    <w:rsid w:val="7B5A1899"/>
    <w:rsid w:val="7B5A5A6C"/>
    <w:rsid w:val="7B5C250E"/>
    <w:rsid w:val="7B6D0F87"/>
    <w:rsid w:val="7B6E1173"/>
    <w:rsid w:val="7B72691F"/>
    <w:rsid w:val="7B783FD8"/>
    <w:rsid w:val="7B9A3DB8"/>
    <w:rsid w:val="7BA113AB"/>
    <w:rsid w:val="7BD52290"/>
    <w:rsid w:val="7BD568A0"/>
    <w:rsid w:val="7BEF4EB5"/>
    <w:rsid w:val="7BF20E1E"/>
    <w:rsid w:val="7C1524F7"/>
    <w:rsid w:val="7C456120"/>
    <w:rsid w:val="7C522F9B"/>
    <w:rsid w:val="7C5728ED"/>
    <w:rsid w:val="7C82779C"/>
    <w:rsid w:val="7C9408F4"/>
    <w:rsid w:val="7CB4634A"/>
    <w:rsid w:val="7CB83597"/>
    <w:rsid w:val="7CB90CC2"/>
    <w:rsid w:val="7CE50175"/>
    <w:rsid w:val="7CF05083"/>
    <w:rsid w:val="7CFB2CE9"/>
    <w:rsid w:val="7D0C34C4"/>
    <w:rsid w:val="7D212CA5"/>
    <w:rsid w:val="7D255EE2"/>
    <w:rsid w:val="7D293184"/>
    <w:rsid w:val="7D4B3EE6"/>
    <w:rsid w:val="7D6112EF"/>
    <w:rsid w:val="7D68620F"/>
    <w:rsid w:val="7D69777E"/>
    <w:rsid w:val="7D927DC0"/>
    <w:rsid w:val="7D971DB1"/>
    <w:rsid w:val="7DB34706"/>
    <w:rsid w:val="7E1A0A9F"/>
    <w:rsid w:val="7E3C401A"/>
    <w:rsid w:val="7E641213"/>
    <w:rsid w:val="7EE33139"/>
    <w:rsid w:val="7EF34773"/>
    <w:rsid w:val="7EFC0B65"/>
    <w:rsid w:val="7F0D08DC"/>
    <w:rsid w:val="7F173D26"/>
    <w:rsid w:val="7F5DC674"/>
    <w:rsid w:val="7F666017"/>
    <w:rsid w:val="7F714EE5"/>
    <w:rsid w:val="7F7F2734"/>
    <w:rsid w:val="7FA63F96"/>
    <w:rsid w:val="7FB9287C"/>
    <w:rsid w:val="7FCC47FD"/>
    <w:rsid w:val="7FD31973"/>
    <w:rsid w:val="7FE15B01"/>
    <w:rsid w:val="7FFA3A11"/>
    <w:rsid w:val="7FFB1B6E"/>
    <w:rsid w:val="C5DB1ABC"/>
    <w:rsid w:val="DDDB8AE3"/>
    <w:rsid w:val="FFB9659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4"/>
    <w:qFormat/>
    <w:uiPriority w:val="0"/>
    <w:pPr>
      <w:spacing w:after="120"/>
    </w:pPr>
    <w:rPr>
      <w:kern w:val="0"/>
      <w:sz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table of authorities"/>
    <w:basedOn w:val="1"/>
    <w:next w:val="1"/>
    <w:qFormat/>
    <w:uiPriority w:val="99"/>
    <w:pPr>
      <w:ind w:left="420" w:leftChars="200"/>
    </w:pPr>
  </w:style>
  <w:style w:type="paragraph" w:styleId="13">
    <w:name w:val="Normal Indent"/>
    <w:basedOn w:val="1"/>
    <w:link w:val="68"/>
    <w:qFormat/>
    <w:uiPriority w:val="0"/>
    <w:pPr>
      <w:ind w:firstLine="420" w:firstLineChars="200"/>
    </w:pPr>
  </w:style>
  <w:style w:type="paragraph" w:styleId="14">
    <w:name w:val="Document Map"/>
    <w:basedOn w:val="1"/>
    <w:link w:val="75"/>
    <w:qFormat/>
    <w:uiPriority w:val="0"/>
    <w:pPr>
      <w:shd w:val="clear" w:color="auto" w:fill="000080"/>
    </w:pPr>
    <w:rPr>
      <w:kern w:val="0"/>
      <w:sz w:val="20"/>
    </w:rPr>
  </w:style>
  <w:style w:type="paragraph" w:styleId="15">
    <w:name w:val="annotation text"/>
    <w:basedOn w:val="1"/>
    <w:link w:val="57"/>
    <w:unhideWhenUsed/>
    <w:qFormat/>
    <w:uiPriority w:val="99"/>
    <w:pPr>
      <w:jc w:val="left"/>
    </w:pPr>
    <w:rPr>
      <w:kern w:val="0"/>
      <w:sz w:val="20"/>
    </w:rPr>
  </w:style>
  <w:style w:type="paragraph" w:styleId="16">
    <w:name w:val="Body Text 3"/>
    <w:basedOn w:val="1"/>
    <w:link w:val="61"/>
    <w:qFormat/>
    <w:uiPriority w:val="0"/>
    <w:rPr>
      <w:rFonts w:ascii="宋体"/>
      <w:kern w:val="0"/>
      <w:sz w:val="24"/>
      <w:szCs w:val="20"/>
    </w:rPr>
  </w:style>
  <w:style w:type="paragraph" w:styleId="17">
    <w:name w:val="Body Text Indent"/>
    <w:basedOn w:val="1"/>
    <w:link w:val="74"/>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方正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7"/>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81"/>
    <w:qFormat/>
    <w:uiPriority w:val="0"/>
    <w:rPr>
      <w:kern w:val="0"/>
      <w:sz w:val="24"/>
      <w:szCs w:val="20"/>
    </w:rPr>
  </w:style>
  <w:style w:type="paragraph" w:styleId="24">
    <w:name w:val="Body Text Indent 2"/>
    <w:basedOn w:val="1"/>
    <w:qFormat/>
    <w:uiPriority w:val="0"/>
    <w:pPr>
      <w:spacing w:after="120" w:line="480" w:lineRule="auto"/>
      <w:ind w:left="420" w:leftChars="200"/>
    </w:pPr>
  </w:style>
  <w:style w:type="paragraph" w:styleId="25">
    <w:name w:val="Balloon Text"/>
    <w:basedOn w:val="1"/>
    <w:link w:val="79"/>
    <w:qFormat/>
    <w:uiPriority w:val="0"/>
    <w:rPr>
      <w:kern w:val="0"/>
      <w:sz w:val="18"/>
      <w:szCs w:val="18"/>
    </w:r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7"/>
    <w:qFormat/>
    <w:uiPriority w:val="0"/>
    <w:rPr>
      <w:b/>
      <w:bCs/>
    </w:rPr>
  </w:style>
  <w:style w:type="paragraph" w:styleId="41">
    <w:name w:val="Body Text First Indent 2"/>
    <w:basedOn w:val="17"/>
    <w:qFormat/>
    <w:uiPriority w:val="0"/>
    <w:pPr>
      <w:ind w:firstLine="420"/>
    </w:pPr>
    <w:rPr>
      <w:sz w:val="21"/>
    </w:rPr>
  </w:style>
  <w:style w:type="table" w:styleId="43">
    <w:name w:val="Table Grid"/>
    <w:basedOn w:val="42"/>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0"/>
    <w:rPr>
      <w:b/>
      <w:bCs/>
    </w:rPr>
  </w:style>
  <w:style w:type="character" w:styleId="46">
    <w:name w:val="page number"/>
    <w:qFormat/>
    <w:uiPriority w:val="0"/>
  </w:style>
  <w:style w:type="character" w:styleId="47">
    <w:name w:val="FollowedHyperlink"/>
    <w:basedOn w:val="44"/>
    <w:qFormat/>
    <w:uiPriority w:val="0"/>
    <w:rPr>
      <w:rFonts w:hint="default" w:ascii="Arial" w:hAnsi="Arial" w:eastAsia="Arial" w:cs="Arial"/>
      <w:color w:val="333333"/>
      <w:sz w:val="21"/>
      <w:szCs w:val="21"/>
      <w:u w:val="none"/>
    </w:rPr>
  </w:style>
  <w:style w:type="character" w:styleId="48">
    <w:name w:val="Emphasis"/>
    <w:basedOn w:val="44"/>
    <w:qFormat/>
    <w:uiPriority w:val="20"/>
    <w:rPr>
      <w:i/>
    </w:rPr>
  </w:style>
  <w:style w:type="character" w:styleId="49">
    <w:name w:val="Hyperlink"/>
    <w:basedOn w:val="44"/>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ExtB" w:hAnsi="MingLiU-ExtB" w:eastAsia="MingLiU-ExtB" w:cs="MingLiU-ExtB"/>
      <w:color w:val="000000"/>
      <w:spacing w:val="0"/>
      <w:w w:val="100"/>
      <w:position w:val="0"/>
      <w:sz w:val="19"/>
      <w:szCs w:val="19"/>
      <w:u w:val="none"/>
      <w:lang w:val="zh-TW" w:eastAsia="zh-TW" w:bidi="zh-TW"/>
    </w:rPr>
  </w:style>
  <w:style w:type="character" w:customStyle="1" w:styleId="56">
    <w:name w:val="标题 3 字符"/>
    <w:link w:val="5"/>
    <w:qFormat/>
    <w:uiPriority w:val="0"/>
    <w:rPr>
      <w:rFonts w:ascii="Times New Roman" w:hAnsi="Times New Roman" w:eastAsia="宋体" w:cs="Times New Roman"/>
      <w:b/>
      <w:bCs/>
      <w:sz w:val="32"/>
      <w:szCs w:val="32"/>
    </w:rPr>
  </w:style>
  <w:style w:type="character" w:customStyle="1" w:styleId="57">
    <w:name w:val="批注文字 字符"/>
    <w:link w:val="15"/>
    <w:semiHidden/>
    <w:qFormat/>
    <w:uiPriority w:val="99"/>
    <w:rPr>
      <w:rFonts w:ascii="Times New Roman" w:hAnsi="Times New Roman" w:eastAsia="宋体" w:cs="Times New Roman"/>
      <w:szCs w:val="24"/>
    </w:rPr>
  </w:style>
  <w:style w:type="character" w:customStyle="1" w:styleId="58">
    <w:name w:val="标题 6 字符"/>
    <w:link w:val="7"/>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6"/>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2"/>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3"/>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10"/>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7"/>
    <w:qFormat/>
    <w:uiPriority w:val="0"/>
    <w:rPr>
      <w:szCs w:val="24"/>
    </w:rPr>
  </w:style>
  <w:style w:type="character" w:customStyle="1" w:styleId="75">
    <w:name w:val="文档结构图 字符"/>
    <w:link w:val="14"/>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4"/>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25"/>
    <w:qFormat/>
    <w:uiPriority w:val="0"/>
    <w:rPr>
      <w:rFonts w:ascii="Times New Roman" w:hAnsi="Times New Roman" w:eastAsia="宋体" w:cs="Times New Roman"/>
      <w:sz w:val="18"/>
      <w:szCs w:val="18"/>
    </w:rPr>
  </w:style>
  <w:style w:type="character" w:customStyle="1" w:styleId="80">
    <w:name w:val="标题 8 字符"/>
    <w:link w:val="9"/>
    <w:qFormat/>
    <w:uiPriority w:val="0"/>
    <w:rPr>
      <w:rFonts w:ascii="Arial" w:hAnsi="Arial" w:eastAsia="黑体" w:cs="Times New Roman"/>
      <w:kern w:val="0"/>
      <w:sz w:val="24"/>
      <w:szCs w:val="24"/>
    </w:rPr>
  </w:style>
  <w:style w:type="character" w:customStyle="1" w:styleId="81">
    <w:name w:val="日期 字符"/>
    <w:link w:val="23"/>
    <w:qFormat/>
    <w:uiPriority w:val="0"/>
    <w:rPr>
      <w:rFonts w:ascii="Times New Roman" w:hAnsi="Times New Roman" w:eastAsia="宋体" w:cs="Times New Roman"/>
      <w:sz w:val="24"/>
      <w:szCs w:val="20"/>
    </w:rPr>
  </w:style>
  <w:style w:type="character" w:customStyle="1" w:styleId="82">
    <w:name w:val="标题 1 字符"/>
    <w:link w:val="3"/>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6"/>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1"/>
    <w:qFormat/>
    <w:uiPriority w:val="99"/>
    <w:rPr>
      <w:rFonts w:ascii="Courier New" w:hAnsi="Courier New"/>
    </w:rPr>
  </w:style>
  <w:style w:type="character" w:customStyle="1" w:styleId="98">
    <w:name w:val="标题 7 字符"/>
    <w:link w:val="8"/>
    <w:qFormat/>
    <w:uiPriority w:val="0"/>
    <w:rPr>
      <w:rFonts w:ascii="Times New Roman" w:hAnsi="Times New Roman" w:eastAsia="宋体" w:cs="Times New Roman"/>
      <w:b/>
      <w:bCs/>
      <w:kern w:val="0"/>
      <w:sz w:val="24"/>
      <w:szCs w:val="24"/>
    </w:rPr>
  </w:style>
  <w:style w:type="paragraph" w:customStyle="1" w:styleId="99">
    <w:name w:val="样式4"/>
    <w:basedOn w:val="5"/>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5"/>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5"/>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ExtB" w:hAnsi="MingLiU-ExtB" w:eastAsia="MingLiU-ExtB"/>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ExtB" w:hAnsi="MingLiU-ExtB" w:eastAsia="MingLiU-ExtB"/>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Wonder Arial" w:hAnsi="Wonder Arial" w:eastAsia="Wonder Arial"/>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方正仿宋_GB2312" w:hAnsi="宋体" w:eastAsia="方正仿宋_GB2312" w:cs="Times New Roman"/>
      <w:kern w:val="2"/>
      <w:sz w:val="21"/>
      <w:szCs w:val="21"/>
      <w:lang w:val="en-US" w:eastAsia="zh-CN" w:bidi="ar-SA"/>
    </w:rPr>
  </w:style>
  <w:style w:type="paragraph" w:customStyle="1" w:styleId="158">
    <w:name w:val="样式2"/>
    <w:basedOn w:val="5"/>
    <w:qFormat/>
    <w:uiPriority w:val="0"/>
  </w:style>
  <w:style w:type="character" w:customStyle="1" w:styleId="159">
    <w:name w:val="after"/>
    <w:basedOn w:val="44"/>
    <w:qFormat/>
    <w:uiPriority w:val="0"/>
    <w:rPr>
      <w:bdr w:val="dashed" w:color="auto" w:sz="48" w:space="0"/>
    </w:rPr>
  </w:style>
  <w:style w:type="character" w:customStyle="1" w:styleId="160">
    <w:name w:val="before"/>
    <w:basedOn w:val="44"/>
    <w:qFormat/>
    <w:uiPriority w:val="0"/>
    <w:rPr>
      <w:bdr w:val="single" w:color="auto" w:sz="48" w:space="0"/>
    </w:rPr>
  </w:style>
  <w:style w:type="character" w:customStyle="1" w:styleId="161">
    <w:name w:val="hover48"/>
    <w:basedOn w:val="44"/>
    <w:qFormat/>
    <w:uiPriority w:val="0"/>
    <w:rPr>
      <w:shd w:val="clear" w:color="auto" w:fill="346AC3"/>
    </w:rPr>
  </w:style>
  <w:style w:type="character" w:customStyle="1" w:styleId="162">
    <w:name w:val="hover49"/>
    <w:basedOn w:val="44"/>
    <w:qFormat/>
    <w:uiPriority w:val="0"/>
  </w:style>
  <w:style w:type="character" w:customStyle="1" w:styleId="163">
    <w:name w:val="hover50"/>
    <w:basedOn w:val="44"/>
    <w:qFormat/>
    <w:uiPriority w:val="0"/>
    <w:rPr>
      <w:color w:val="4285F4"/>
      <w:u w:val="none"/>
    </w:rPr>
  </w:style>
  <w:style w:type="character" w:customStyle="1" w:styleId="164">
    <w:name w:val="hover51"/>
    <w:basedOn w:val="44"/>
    <w:qFormat/>
    <w:uiPriority w:val="0"/>
    <w:rPr>
      <w:color w:val="4285F4"/>
    </w:rPr>
  </w:style>
  <w:style w:type="character" w:customStyle="1" w:styleId="165">
    <w:name w:val="hover52"/>
    <w:basedOn w:val="44"/>
    <w:qFormat/>
    <w:uiPriority w:val="0"/>
    <w:rPr>
      <w:color w:val="1A85D7"/>
    </w:rPr>
  </w:style>
  <w:style w:type="character" w:customStyle="1" w:styleId="166">
    <w:name w:val="credit"/>
    <w:basedOn w:val="44"/>
    <w:qFormat/>
    <w:uiPriority w:val="0"/>
    <w:rPr>
      <w:sz w:val="18"/>
      <w:szCs w:val="18"/>
    </w:rPr>
  </w:style>
  <w:style w:type="character" w:customStyle="1" w:styleId="167">
    <w:name w:val="first-child"/>
    <w:basedOn w:val="44"/>
    <w:qFormat/>
    <w:uiPriority w:val="0"/>
  </w:style>
  <w:style w:type="paragraph" w:customStyle="1" w:styleId="168">
    <w:name w:val="_Style 6"/>
    <w:basedOn w:val="1"/>
    <w:next w:val="1"/>
    <w:qFormat/>
    <w:uiPriority w:val="39"/>
    <w:pPr>
      <w:tabs>
        <w:tab w:val="left" w:pos="1260"/>
        <w:tab w:val="left" w:pos="1680"/>
        <w:tab w:val="right" w:leader="dot" w:pos="9712"/>
      </w:tabs>
      <w:adjustRightInd w:val="0"/>
      <w:snapToGrid w:val="0"/>
      <w:spacing w:line="312" w:lineRule="auto"/>
    </w:pPr>
    <w:rPr>
      <w:rFonts w:hAnsi="宋体"/>
      <w:b/>
      <w:bCs/>
      <w:sz w:val="32"/>
    </w:rPr>
  </w:style>
  <w:style w:type="paragraph" w:customStyle="1" w:styleId="169">
    <w:name w:val="_Style 2"/>
    <w:basedOn w:val="1"/>
    <w:unhideWhenUsed/>
    <w:qFormat/>
    <w:uiPriority w:val="34"/>
    <w:pPr>
      <w:spacing w:beforeLines="0" w:afterLines="0"/>
      <w:ind w:firstLine="420" w:firstLineChars="200"/>
    </w:pPr>
    <w:rPr>
      <w:rFonts w:hint="default"/>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37</Pages>
  <Words>10337</Words>
  <Characters>10722</Characters>
  <Lines>116</Lines>
  <Paragraphs>32</Paragraphs>
  <TotalTime>5</TotalTime>
  <ScaleCrop>false</ScaleCrop>
  <LinksUpToDate>false</LinksUpToDate>
  <CharactersWithSpaces>11542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2020-04-29T16:16:00Z</dcterms:created>
  <dc:creator>陈桂兰</dc:creator>
  <cp:lastModifiedBy>最聪明的傻瓜</cp:lastModifiedBy>
  <cp:lastPrinted>2022-06-07T02:51:00Z</cp:lastPrinted>
  <dcterms:modified xsi:type="dcterms:W3CDTF">2025-10-21T03:48:39Z</dcterms:modified>
  <dc:title>项目名称：2019年重庆市取消高速公路省界收费站项目</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CA9229BF7F204DA08DD95BC61990121B</vt:lpwstr>
  </property>
  <property fmtid="{D5CDD505-2E9C-101B-9397-08002B2CF9AE}" pid="4" name="KSOTemplateDocerSaveRecord">
    <vt:lpwstr>eyJoZGlkIjoiNTFiYTlhNmFlMzNlNjk5MWE5YmIyYzY3YzU0OWRmN2QiLCJ1c2VySWQiOiI0Mzk5MTQwNTcifQ==</vt:lpwstr>
  </property>
</Properties>
</file>